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A8E2" w14:textId="33600D4C" w:rsidR="002F31FE" w:rsidRPr="002F31FE" w:rsidRDefault="002F31FE">
      <w:pPr>
        <w:rPr>
          <w:rFonts w:ascii="Calibri" w:hAnsi="Calibri" w:cs="Calibri"/>
        </w:rPr>
      </w:pP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F6AEA" w:rsidRPr="00323521" w14:paraId="40F6156D" w14:textId="77777777" w:rsidTr="002A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6AB031" w14:textId="7200726C" w:rsidR="00FF6AEA" w:rsidRPr="004E3BC1" w:rsidRDefault="00FF6AEA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8220CD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 xml:space="preserve"> Oxford</w:t>
                </w:r>
              </w:sdtContent>
            </w:sdt>
          </w:p>
        </w:tc>
      </w:tr>
      <w:tr w:rsidR="008A5DEB" w:rsidRPr="00323521" w14:paraId="2A8FCC68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88EA43" w14:textId="07CBB965" w:rsidR="008A5DEB" w:rsidRPr="00323521" w:rsidRDefault="00FF6AE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="008A5DEB"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  <w:r w:rsidR="00AD5C7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</w:t>
            </w:r>
            <w:r w:rsidR="00950F3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The m</w:t>
            </w:r>
            <w:r w:rsidR="00AD5C7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anag</w:t>
            </w:r>
            <w:r w:rsidR="00950F3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ement of patient risk in </w:t>
            </w:r>
            <w:r w:rsidR="00AD5C71" w:rsidRPr="00AD5C7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disease outbreaks</w:t>
            </w:r>
            <w:r w:rsidR="00AD5C7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: </w:t>
            </w:r>
            <w:r w:rsidR="00950F3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A retrospective study of the primary care response to the rise in </w:t>
            </w:r>
            <w:r w:rsidR="00950F3C" w:rsidRPr="00950F3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invasive group A streptococcal infections in</w:t>
            </w:r>
            <w:r w:rsidR="002C4FB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England and Wales</w:t>
            </w:r>
            <w:r w:rsidR="00950F3C" w:rsidRPr="00950F3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2022</w:t>
            </w:r>
            <w:r w:rsid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/23</w:t>
            </w:r>
          </w:p>
        </w:tc>
      </w:tr>
      <w:tr w:rsidR="008A5DEB" w:rsidRPr="00323521" w14:paraId="082EE4C0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173F29A" w14:textId="179C71C1" w:rsidR="00220D1C" w:rsidRPr="009048D1" w:rsidRDefault="00220D1C" w:rsidP="00220D1C">
            <w:pPr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E0356E" w:rsidRPr="00323521" w14:paraId="4977EDC6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A0A5552" w14:textId="45513EC4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="002F31FE" w:rsidRP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                                    </w:t>
            </w:r>
          </w:p>
        </w:tc>
      </w:tr>
      <w:tr w:rsidR="00E0356E" w:rsidRPr="00323521" w14:paraId="6C401CA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DC212EF" w14:textId="5019535C" w:rsidR="00220D1C" w:rsidRPr="00C23141" w:rsidRDefault="008220CD" w:rsidP="002C4FB5">
            <w:pP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</w:pPr>
            <w:r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Rebecca Barnes, Associate Professor and NIHR Fellow (Oxford, </w:t>
            </w:r>
            <w:r w:rsidR="00220D1C"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Primary Supervisor</w:t>
            </w:r>
            <w:r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)</w:t>
            </w:r>
            <w:r w:rsidR="00220D1C"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</w:p>
          <w:p w14:paraId="5AED4EC0" w14:textId="2FA0D581" w:rsidR="00220D1C" w:rsidRDefault="00C23141" w:rsidP="002C4FB5">
            <w:pPr>
              <w:rPr>
                <w:rFonts w:asciiTheme="minorHAnsi" w:hAnsiTheme="minorHAnsi"/>
                <w:color w:val="000000" w:themeColor="text1"/>
                <w:szCs w:val="22"/>
              </w:rPr>
            </w:pPr>
            <w:r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Catherine Pope</w:t>
            </w:r>
            <w:r w:rsidR="006D6FD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, Professor of Medical Sociology</w:t>
            </w:r>
            <w:r w:rsidR="008220CD"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(</w:t>
            </w:r>
            <w:r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Oxford</w:t>
            </w:r>
            <w:r w:rsidR="008220CD"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)</w:t>
            </w:r>
            <w:r w:rsidR="00220D1C" w:rsidRPr="00C2314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</w:p>
          <w:p w14:paraId="4976C3BE" w14:textId="55018405" w:rsidR="00220D1C" w:rsidRPr="008E5532" w:rsidRDefault="002C4FB5" w:rsidP="008E5532">
            <w:pP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Andrew Carson-Stevens</w:t>
            </w:r>
            <w:r w:rsidR="006D6FD1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, Professor of Patient Safety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(Cardiff)</w:t>
            </w:r>
          </w:p>
        </w:tc>
      </w:tr>
      <w:tr w:rsidR="00787EF3" w:rsidRPr="00323521" w14:paraId="6F63D82B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70045B" w14:textId="2C76F51A" w:rsidR="00787EF3" w:rsidRPr="00787EF3" w:rsidRDefault="00787EF3" w:rsidP="00787EF3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="00787EF3" w:rsidRPr="00323521" w14:paraId="3C92EF33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E1ED64A" w14:textId="77777777" w:rsidR="00787EF3" w:rsidRDefault="00787EF3" w:rsidP="00220D1C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762D5B47" w14:textId="1DCA1BE4" w:rsidR="003423C7" w:rsidRDefault="003423C7" w:rsidP="003423C7">
            <w:pPr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The successful candidate will be based in the Nuffield Department of Primary Care Sciences at the University of Oxford</w:t>
            </w:r>
            <w:r w:rsidR="004E02B3">
              <w:rPr>
                <w:rFonts w:asciiTheme="minorHAnsi" w:hAnsiTheme="minorHAnsi"/>
                <w:b w:val="0"/>
                <w:szCs w:val="24"/>
              </w:rPr>
              <w:t>. They will have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access to a wide range of educational opportunities</w:t>
            </w:r>
            <w:r w:rsidR="004E02B3">
              <w:rPr>
                <w:rFonts w:asciiTheme="minorHAnsi" w:hAnsiTheme="minorHAnsi"/>
                <w:b w:val="0"/>
                <w:szCs w:val="24"/>
              </w:rPr>
              <w:t xml:space="preserve"> that will support relevant areas of study such as quality and safety, </w:t>
            </w:r>
            <w:r w:rsidR="002C4FB5">
              <w:rPr>
                <w:rFonts w:asciiTheme="minorHAnsi" w:hAnsiTheme="minorHAnsi"/>
                <w:b w:val="0"/>
                <w:szCs w:val="24"/>
              </w:rPr>
              <w:t xml:space="preserve">health care communication </w:t>
            </w:r>
            <w:r w:rsidR="004E02B3">
              <w:rPr>
                <w:rFonts w:asciiTheme="minorHAnsi" w:hAnsiTheme="minorHAnsi"/>
                <w:b w:val="0"/>
                <w:szCs w:val="24"/>
              </w:rPr>
              <w:t xml:space="preserve">and patient experience. Methodological training appropriate to the investigation of health care delivery challenges will also be </w:t>
            </w:r>
            <w:r w:rsidR="002C4FB5">
              <w:rPr>
                <w:rFonts w:asciiTheme="minorHAnsi" w:hAnsiTheme="minorHAnsi"/>
                <w:b w:val="0"/>
                <w:szCs w:val="24"/>
              </w:rPr>
              <w:t xml:space="preserve">made </w:t>
            </w:r>
            <w:r w:rsidR="004E02B3">
              <w:rPr>
                <w:rFonts w:asciiTheme="minorHAnsi" w:hAnsiTheme="minorHAnsi"/>
                <w:b w:val="0"/>
                <w:szCs w:val="24"/>
              </w:rPr>
              <w:t xml:space="preserve">available </w:t>
            </w:r>
            <w:r w:rsidR="002C4FB5">
              <w:rPr>
                <w:rFonts w:asciiTheme="minorHAnsi" w:hAnsiTheme="minorHAnsi"/>
                <w:b w:val="0"/>
                <w:szCs w:val="24"/>
              </w:rPr>
              <w:t>including</w:t>
            </w:r>
            <w:r w:rsidR="004E02B3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2C4FB5">
              <w:rPr>
                <w:rFonts w:asciiTheme="minorHAnsi" w:hAnsiTheme="minorHAnsi"/>
                <w:b w:val="0"/>
                <w:szCs w:val="24"/>
              </w:rPr>
              <w:t>combining qualitative and quantitative approaches</w:t>
            </w:r>
            <w:r w:rsidR="004E02B3">
              <w:rPr>
                <w:rFonts w:asciiTheme="minorHAnsi" w:hAnsiTheme="minorHAnsi"/>
                <w:b w:val="0"/>
                <w:szCs w:val="24"/>
              </w:rPr>
              <w:t xml:space="preserve"> and </w:t>
            </w:r>
            <w:r w:rsidR="002C4FB5">
              <w:rPr>
                <w:rFonts w:asciiTheme="minorHAnsi" w:hAnsiTheme="minorHAnsi"/>
                <w:b w:val="0"/>
                <w:szCs w:val="24"/>
              </w:rPr>
              <w:t>the systematic</w:t>
            </w:r>
            <w:r w:rsidR="004E02B3">
              <w:rPr>
                <w:rFonts w:asciiTheme="minorHAnsi" w:hAnsiTheme="minorHAnsi"/>
                <w:b w:val="0"/>
                <w:szCs w:val="24"/>
              </w:rPr>
              <w:t xml:space="preserve"> study of</w:t>
            </w:r>
            <w:r w:rsidR="002C4FB5">
              <w:rPr>
                <w:rFonts w:asciiTheme="minorHAnsi" w:hAnsiTheme="minorHAnsi"/>
                <w:b w:val="0"/>
                <w:szCs w:val="24"/>
              </w:rPr>
              <w:t xml:space="preserve"> interactions between primary care team members and patients or their caregivers</w:t>
            </w:r>
            <w:r w:rsidR="004E02B3">
              <w:rPr>
                <w:rFonts w:asciiTheme="minorHAnsi" w:hAnsiTheme="minorHAnsi"/>
                <w:b w:val="0"/>
                <w:szCs w:val="24"/>
              </w:rPr>
              <w:t>.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2C4FB5">
              <w:rPr>
                <w:rFonts w:asciiTheme="minorHAnsi" w:hAnsiTheme="minorHAnsi"/>
                <w:b w:val="0"/>
                <w:szCs w:val="24"/>
              </w:rPr>
              <w:t>T</w:t>
            </w:r>
            <w:r>
              <w:rPr>
                <w:rFonts w:asciiTheme="minorHAnsi" w:hAnsiTheme="minorHAnsi"/>
                <w:b w:val="0"/>
                <w:szCs w:val="24"/>
              </w:rPr>
              <w:t xml:space="preserve">he candidate will </w:t>
            </w:r>
            <w:r w:rsidR="002C4FB5">
              <w:rPr>
                <w:rFonts w:asciiTheme="minorHAnsi" w:hAnsiTheme="minorHAnsi"/>
                <w:b w:val="0"/>
                <w:szCs w:val="24"/>
              </w:rPr>
              <w:t>also be encouraged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to spend time as a visiting researcher </w:t>
            </w:r>
            <w:r w:rsidR="002C4FB5">
              <w:rPr>
                <w:rFonts w:asciiTheme="minorHAnsi" w:hAnsiTheme="minorHAnsi"/>
                <w:b w:val="0"/>
                <w:szCs w:val="24"/>
              </w:rPr>
              <w:t>in patient safety research groups in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2C4FB5">
              <w:rPr>
                <w:rFonts w:asciiTheme="minorHAnsi" w:hAnsiTheme="minorHAnsi"/>
                <w:b w:val="0"/>
                <w:szCs w:val="24"/>
              </w:rPr>
              <w:t>other SPCR member and non-member departments</w:t>
            </w:r>
            <w:r>
              <w:rPr>
                <w:rFonts w:asciiTheme="minorHAnsi" w:hAnsiTheme="minorHAnsi"/>
                <w:b w:val="0"/>
                <w:szCs w:val="24"/>
              </w:rPr>
              <w:t>.</w:t>
            </w:r>
          </w:p>
          <w:p w14:paraId="45139B8B" w14:textId="77777777" w:rsidR="003423C7" w:rsidRDefault="003423C7" w:rsidP="003423C7">
            <w:pPr>
              <w:rPr>
                <w:rFonts w:asciiTheme="minorHAnsi" w:hAnsiTheme="minorHAnsi"/>
                <w:b w:val="0"/>
                <w:szCs w:val="24"/>
              </w:rPr>
            </w:pPr>
          </w:p>
          <w:p w14:paraId="220F35E2" w14:textId="510D65C6" w:rsidR="00220D1C" w:rsidRPr="008E5532" w:rsidRDefault="003423C7" w:rsidP="003423C7">
            <w:pP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</w:pPr>
            <w:r w:rsidRPr="001E3811">
              <w:rPr>
                <w:rFonts w:asciiTheme="minorHAnsi" w:hAnsiTheme="minorHAnsi"/>
                <w:b w:val="0"/>
                <w:szCs w:val="24"/>
              </w:rPr>
              <w:t xml:space="preserve">Additional opportunities for enrichment and development will be made possible through 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l</w:t>
            </w:r>
            <w:r w:rsidRPr="00D8754A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inks with the </w:t>
            </w:r>
            <w:r w:rsidR="00E9006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European research network for out-of-hours primary health care,</w:t>
            </w:r>
            <w:r w:rsidR="00E9006C" w:rsidRPr="00D8754A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  <w:r w:rsidRPr="00D8754A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UK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Health Security Agency, </w:t>
            </w:r>
            <w:r w:rsidR="00B2657E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Wales Centre for Primary and Emergency Care Research, 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National Institute for Health and Care Excellence</w:t>
            </w:r>
            <w:r w:rsidR="002C4FB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,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integrated urgent </w:t>
            </w:r>
            <w:r w:rsidR="00AD5E6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and emergency 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care leads in NHS England and NHS Wales</w:t>
            </w:r>
            <w:r w:rsidR="00B2657E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, and the</w:t>
            </w:r>
            <w:r w:rsidR="00E9006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Thames Valley and Wessex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</w:rPr>
              <w:t xml:space="preserve"> 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P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</w:rPr>
              <w:t>a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edi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</w:rPr>
              <w:t>a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tric Oper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</w:rPr>
              <w:t>a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tion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</w:rPr>
              <w:t>a</w:t>
            </w:r>
            <w:r w:rsidR="00E9006C" w:rsidRPr="00E9006C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l Delivery Network</w:t>
            </w:r>
            <w:r w:rsidR="00B2657E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.</w:t>
            </w:r>
          </w:p>
        </w:tc>
      </w:tr>
      <w:tr w:rsidR="00E0356E" w:rsidRPr="00323521" w14:paraId="6F97C7C9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298EBB7" w14:textId="77777777" w:rsidR="00E0356E" w:rsidRPr="00DD21ED" w:rsidRDefault="00E0356E">
            <w:pPr>
              <w:rPr>
                <w:rFonts w:asciiTheme="minorHAnsi" w:hAnsiTheme="minorHAnsi"/>
                <w:b w:val="0"/>
                <w:szCs w:val="24"/>
              </w:rPr>
            </w:pPr>
            <w:r w:rsidRPr="00C07FA2">
              <w:rPr>
                <w:rFonts w:asciiTheme="minorHAnsi" w:hAnsiTheme="minorHAnsi"/>
                <w:bCs w:val="0"/>
                <w:color w:val="2E74B5" w:themeColor="accent1" w:themeShade="BF"/>
                <w:sz w:val="28"/>
                <w:szCs w:val="24"/>
              </w:rPr>
              <w:t>Project description</w:t>
            </w:r>
            <w:r w:rsidRPr="00DD21ED">
              <w:rPr>
                <w:rFonts w:asciiTheme="minorHAnsi" w:hAnsiTheme="minorHAnsi"/>
                <w:b w:val="0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295FC3B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D2DD1DE" w14:textId="77777777" w:rsidR="008E5532" w:rsidRDefault="008E5532" w:rsidP="008E553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Cs w:val="22"/>
              </w:rPr>
            </w:pPr>
          </w:p>
          <w:p w14:paraId="648E3FCF" w14:textId="14E76C2E" w:rsidR="00274ACB" w:rsidRPr="00025D85" w:rsidRDefault="001F0F18" w:rsidP="008E5532">
            <w:pPr>
              <w:pStyle w:val="NormalWeb"/>
              <w:spacing w:before="0" w:beforeAutospacing="0" w:after="0" w:afterAutospacing="0"/>
            </w:pPr>
            <w:r w:rsidRPr="001F0F18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Strep A (Group A Streptococcus) is a common type of bacteria that typically causes throat infections and scarlet fever</w:t>
            </w:r>
            <w:r w:rsidR="006A7BA3" w:rsidRPr="006A7BA3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  <w:r w:rsidR="006A7BA3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with </w:t>
            </w:r>
            <w:r w:rsidR="006A7BA3" w:rsidRPr="006A7BA3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no fully recognisable early symptomatic stage</w:t>
            </w:r>
            <w:r w:rsidRPr="001F0F18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. While most infections are mild, in rare cases </w:t>
            </w:r>
            <w:r w:rsidR="00025D8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Group </w:t>
            </w:r>
            <w:proofErr w:type="gramStart"/>
            <w:r w:rsidRPr="001F0F18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A</w:t>
            </w:r>
            <w:proofErr w:type="gramEnd"/>
            <w:r w:rsidRPr="001F0F18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  <w:r w:rsidR="00025D85" w:rsidRPr="001F0F18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Strep </w:t>
            </w:r>
            <w:r w:rsidRPr="001F0F18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can cause invasive infections which can be fatal.</w:t>
            </w:r>
            <w:r w:rsidRPr="002C4FB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The UK observed a marked increase in scarlet fever and invasive 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G</w:t>
            </w:r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roup </w:t>
            </w:r>
            <w:proofErr w:type="gramStart"/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A</w:t>
            </w:r>
            <w:proofErr w:type="gramEnd"/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S</w:t>
            </w:r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treptococcal</w:t>
            </w:r>
            <w:r w:rsidR="00025D8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(</w:t>
            </w:r>
            <w:proofErr w:type="spellStart"/>
            <w:r w:rsidR="00025D8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iGAS</w:t>
            </w:r>
            <w:proofErr w:type="spellEnd"/>
            <w:r w:rsidR="00025D8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)</w:t>
            </w:r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infection in the Winter of 2022</w:t>
            </w:r>
            <w:r w:rsidR="00B2657E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/23</w:t>
            </w:r>
            <w:r w:rsidR="00025D8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. H</w:t>
            </w:r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igh profile reporting of severe outcomes in children</w:t>
            </w:r>
            <w:r w:rsidR="006A7BA3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,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including deaths</w:t>
            </w:r>
            <w:r w:rsidR="006A7BA3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,</w:t>
            </w:r>
            <w:r w:rsidR="00025D85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  <w:r w:rsidR="00025D85" w:rsidRP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contributed to a dramatic increase in demand</w:t>
            </w:r>
            <w:r w:rsid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for urgent primary care </w:t>
            </w:r>
            <w:r w:rsidR="00025D85" w:rsidRP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as concerned parents contact</w:t>
            </w:r>
            <w:r w:rsid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ed</w:t>
            </w:r>
            <w:r w:rsidR="00025D85" w:rsidRP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NHS 111</w:t>
            </w:r>
            <w:r w:rsid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and GP in-hours and out-of-hours services, and</w:t>
            </w:r>
            <w:r w:rsidR="00025D85" w:rsidRP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attend</w:t>
            </w:r>
            <w:r w:rsid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ed</w:t>
            </w:r>
            <w:r w:rsidR="006A7BA3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pharmacies,</w:t>
            </w:r>
            <w:r w:rsid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 xml:space="preserve"> Urgent Treatment Centres and </w:t>
            </w:r>
            <w:r w:rsidR="00025D85" w:rsidRPr="00025D8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emergency departments</w:t>
            </w:r>
            <w:r w:rsidR="00AD5C71" w:rsidRPr="002C4FB5">
              <w:rPr>
                <w:rFonts w:asciiTheme="minorHAnsi" w:hAnsiTheme="minorHAnsi" w:cs="Arial"/>
                <w:b w:val="0"/>
                <w:bCs w:val="0"/>
                <w:color w:val="000000" w:themeColor="text1"/>
                <w:szCs w:val="22"/>
              </w:rPr>
              <w:t>.</w:t>
            </w:r>
            <w:r w:rsidR="00835027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 </w:t>
            </w:r>
          </w:p>
          <w:p w14:paraId="7AD5E099" w14:textId="77777777" w:rsidR="008E5532" w:rsidRDefault="008E5532" w:rsidP="006A7BA3">
            <w:pPr>
              <w:spacing w:after="120"/>
              <w:rPr>
                <w:rFonts w:asciiTheme="minorHAnsi" w:hAnsiTheme="minorHAnsi"/>
                <w:bCs w:val="0"/>
                <w:szCs w:val="24"/>
              </w:rPr>
            </w:pPr>
          </w:p>
          <w:p w14:paraId="775FA428" w14:textId="132407BA" w:rsidR="009D2CE8" w:rsidRDefault="00025D85" w:rsidP="006A7BA3">
            <w:pPr>
              <w:spacing w:after="120"/>
              <w:rPr>
                <w:rFonts w:asciiTheme="minorHAnsi" w:hAnsi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The aim</w:t>
            </w:r>
            <w:r w:rsidR="009D2CE8">
              <w:rPr>
                <w:rFonts w:asciiTheme="minorHAnsi" w:hAnsiTheme="minorHAnsi"/>
                <w:b w:val="0"/>
                <w:szCs w:val="24"/>
              </w:rPr>
              <w:t>s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of this project </w:t>
            </w:r>
            <w:r w:rsidR="009D2CE8">
              <w:rPr>
                <w:rFonts w:asciiTheme="minorHAnsi" w:hAnsiTheme="minorHAnsi"/>
                <w:b w:val="0"/>
                <w:szCs w:val="24"/>
              </w:rPr>
              <w:t>are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to </w:t>
            </w:r>
            <w:r w:rsidR="006A7BA3">
              <w:rPr>
                <w:rFonts w:asciiTheme="minorHAnsi" w:hAnsiTheme="minorHAnsi"/>
                <w:b w:val="0"/>
                <w:szCs w:val="24"/>
              </w:rPr>
              <w:t xml:space="preserve">retrospectively </w:t>
            </w:r>
            <w:r>
              <w:rPr>
                <w:rFonts w:asciiTheme="minorHAnsi" w:hAnsiTheme="minorHAnsi"/>
                <w:b w:val="0"/>
                <w:szCs w:val="24"/>
              </w:rPr>
              <w:t>explore</w:t>
            </w:r>
            <w:r w:rsidR="006A7BA3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9D2CE8">
              <w:rPr>
                <w:rFonts w:asciiTheme="minorHAnsi" w:hAnsiTheme="minorHAnsi"/>
                <w:b w:val="0"/>
                <w:szCs w:val="24"/>
              </w:rPr>
              <w:t>the outbreak</w:t>
            </w:r>
            <w:r w:rsidR="00FB762E">
              <w:rPr>
                <w:rFonts w:asciiTheme="minorHAnsi" w:hAnsiTheme="minorHAnsi"/>
                <w:b w:val="0"/>
                <w:szCs w:val="24"/>
              </w:rPr>
              <w:t xml:space="preserve"> and its </w:t>
            </w:r>
            <w:proofErr w:type="gramStart"/>
            <w:r w:rsidR="00FB762E">
              <w:rPr>
                <w:rFonts w:asciiTheme="minorHAnsi" w:hAnsiTheme="minorHAnsi"/>
                <w:b w:val="0"/>
                <w:szCs w:val="24"/>
              </w:rPr>
              <w:t>consequences,</w:t>
            </w:r>
            <w:r w:rsidR="009D2CE8">
              <w:rPr>
                <w:rFonts w:asciiTheme="minorHAnsi" w:hAnsiTheme="minorHAnsi"/>
                <w:b w:val="0"/>
                <w:szCs w:val="24"/>
              </w:rPr>
              <w:t xml:space="preserve"> and</w:t>
            </w:r>
            <w:proofErr w:type="gramEnd"/>
            <w:r w:rsidR="009D2CE8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251F18">
              <w:rPr>
                <w:rFonts w:asciiTheme="minorHAnsi" w:hAnsiTheme="minorHAnsi"/>
                <w:b w:val="0"/>
                <w:szCs w:val="24"/>
              </w:rPr>
              <w:t xml:space="preserve">provide an evidence base for </w:t>
            </w:r>
            <w:r w:rsidR="009D2CE8">
              <w:rPr>
                <w:rFonts w:asciiTheme="minorHAnsi" w:hAnsiTheme="minorHAnsi"/>
                <w:b w:val="0"/>
                <w:szCs w:val="24"/>
              </w:rPr>
              <w:t xml:space="preserve">what could be done differently in terms of safety and effectiveness. Relevant topics for exploration include </w:t>
            </w:r>
            <w:r w:rsidR="006A7BA3">
              <w:rPr>
                <w:rFonts w:asciiTheme="minorHAnsi" w:hAnsiTheme="minorHAnsi"/>
                <w:b w:val="0"/>
                <w:szCs w:val="24"/>
              </w:rPr>
              <w:t>media reporting</w:t>
            </w:r>
            <w:r w:rsidR="008E5532">
              <w:rPr>
                <w:rFonts w:asciiTheme="minorHAnsi" w:hAnsiTheme="minorHAnsi"/>
                <w:b w:val="0"/>
                <w:szCs w:val="24"/>
              </w:rPr>
              <w:t xml:space="preserve"> of the outbreak</w:t>
            </w:r>
            <w:r w:rsidR="006A7BA3">
              <w:rPr>
                <w:rFonts w:asciiTheme="minorHAnsi" w:hAnsiTheme="minorHAnsi"/>
                <w:b w:val="0"/>
                <w:szCs w:val="24"/>
              </w:rPr>
              <w:t>, the primary care response</w:t>
            </w:r>
            <w:r w:rsidR="00FB762E">
              <w:rPr>
                <w:rFonts w:asciiTheme="minorHAnsi" w:hAnsiTheme="minorHAnsi"/>
                <w:b w:val="0"/>
                <w:szCs w:val="24"/>
              </w:rPr>
              <w:t xml:space="preserve"> during interactions with parents/caregivers</w:t>
            </w:r>
            <w:r w:rsidR="009D2CE8">
              <w:rPr>
                <w:rFonts w:asciiTheme="minorHAnsi" w:hAnsiTheme="minorHAnsi"/>
                <w:b w:val="0"/>
                <w:szCs w:val="24"/>
              </w:rPr>
              <w:t>, parent/caregiver experiences of seeking care and safety incident reporting</w:t>
            </w:r>
            <w:r w:rsidR="006A7BA3">
              <w:rPr>
                <w:rFonts w:asciiTheme="minorHAnsi" w:hAnsiTheme="minorHAnsi"/>
                <w:b w:val="0"/>
                <w:szCs w:val="24"/>
              </w:rPr>
              <w:t>.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6A7BA3">
              <w:rPr>
                <w:rFonts w:asciiTheme="minorHAnsi" w:hAnsiTheme="minorHAnsi"/>
                <w:b w:val="0"/>
                <w:szCs w:val="24"/>
              </w:rPr>
              <w:t>The project design will be</w:t>
            </w:r>
            <w:r w:rsidR="009D2CE8">
              <w:rPr>
                <w:rFonts w:asciiTheme="minorHAnsi" w:hAnsiTheme="minorHAnsi"/>
                <w:b w:val="0"/>
                <w:szCs w:val="24"/>
              </w:rPr>
              <w:t xml:space="preserve"> shaped by the successful candidate in discussion with the supervisory team. It is likely to feature</w:t>
            </w:r>
            <w:r w:rsidR="006A7BA3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9D2CE8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>qualitative interviews</w:t>
            </w:r>
            <w:r w:rsidR="009D2CE8">
              <w:rPr>
                <w:rFonts w:asciiTheme="minorHAnsi" w:hAnsiTheme="minorHAnsi"/>
                <w:b w:val="0"/>
                <w:szCs w:val="24"/>
              </w:rPr>
              <w:t xml:space="preserve"> and </w:t>
            </w:r>
            <w:r w:rsidR="006A7BA3">
              <w:rPr>
                <w:rFonts w:asciiTheme="minorHAnsi" w:hAnsiTheme="minorHAnsi"/>
                <w:b w:val="0"/>
                <w:szCs w:val="24"/>
              </w:rPr>
              <w:t xml:space="preserve">the </w:t>
            </w:r>
            <w:r w:rsidR="009D2CE8">
              <w:rPr>
                <w:rFonts w:asciiTheme="minorHAnsi" w:hAnsiTheme="minorHAnsi"/>
                <w:b w:val="0"/>
                <w:szCs w:val="24"/>
              </w:rPr>
              <w:t xml:space="preserve">collection and </w:t>
            </w:r>
            <w:r w:rsidR="006A7BA3">
              <w:rPr>
                <w:rFonts w:asciiTheme="minorHAnsi" w:hAnsiTheme="minorHAnsi"/>
                <w:b w:val="0"/>
                <w:szCs w:val="24"/>
              </w:rPr>
              <w:t xml:space="preserve">analysis of </w:t>
            </w:r>
            <w:r w:rsidR="009D2CE8">
              <w:rPr>
                <w:rFonts w:asciiTheme="minorHAnsi" w:hAnsiTheme="minorHAnsi"/>
                <w:b w:val="0"/>
                <w:szCs w:val="24"/>
              </w:rPr>
              <w:t xml:space="preserve">historical patient </w:t>
            </w:r>
            <w:r w:rsidR="006A7BA3">
              <w:rPr>
                <w:rFonts w:asciiTheme="minorHAnsi" w:hAnsiTheme="minorHAnsi"/>
                <w:b w:val="0"/>
                <w:bCs w:val="0"/>
                <w:color w:val="000000" w:themeColor="text1"/>
                <w:szCs w:val="22"/>
              </w:rPr>
              <w:t xml:space="preserve">case records, call-recordings, patient safety incident reporting, UKHRA messaging and media reporting. </w:t>
            </w:r>
          </w:p>
          <w:p w14:paraId="4E8397B4" w14:textId="3957C64F" w:rsidR="00220D1C" w:rsidRPr="00DD21ED" w:rsidRDefault="00B2657E" w:rsidP="006A7BA3">
            <w:pPr>
              <w:spacing w:after="12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This project is suitable for primary care clinicians from a range of professional backgrounds.</w:t>
            </w:r>
          </w:p>
        </w:tc>
      </w:tr>
      <w:tr w:rsidR="002F31FE" w:rsidRPr="00323521" w14:paraId="0540F925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2467D48" w14:textId="17780CF5" w:rsidR="002F31FE" w:rsidRPr="002F31FE" w:rsidRDefault="002F31FE" w:rsidP="002F31F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lastRenderedPageBreak/>
              <w:t>Indicative p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roject </w:t>
            </w: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costs:                         </w:t>
            </w:r>
          </w:p>
        </w:tc>
      </w:tr>
      <w:tr w:rsidR="002F31FE" w:rsidRPr="00323521" w14:paraId="1060F06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CA69099" w14:textId="72BCD391" w:rsidR="008E3A66" w:rsidRPr="008E3A66" w:rsidRDefault="008E3A66" w:rsidP="00AB5F75">
            <w:pPr>
              <w:numPr>
                <w:ilvl w:val="0"/>
                <w:numId w:val="7"/>
              </w:numPr>
              <w:spacing w:before="100" w:beforeAutospacing="1" w:after="100" w:afterAutospacing="1"/>
              <w:ind w:left="456"/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Salary: Three years of current full-time salary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(pro-rata if part-time</w:t>
            </w:r>
            <w:proofErr w:type="gramStart"/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)</w:t>
            </w:r>
            <w:r w:rsidR="008E55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;</w:t>
            </w:r>
            <w:proofErr w:type="gramEnd"/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</w:p>
          <w:p w14:paraId="6A144683" w14:textId="1D0425EB" w:rsidR="008E3A66" w:rsidRPr="008E3A66" w:rsidRDefault="008E3A66" w:rsidP="00AB5F75">
            <w:pPr>
              <w:numPr>
                <w:ilvl w:val="0"/>
                <w:numId w:val="7"/>
              </w:numPr>
              <w:spacing w:before="100" w:beforeAutospacing="1" w:after="100" w:afterAutospacing="1"/>
              <w:ind w:left="456"/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</w:pP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Training expenses</w:t>
            </w:r>
            <w:r w:rsidR="00CD102A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:</w:t>
            </w: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C</w:t>
            </w: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irca £</w:t>
            </w:r>
            <w:r w:rsidR="00CD102A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3</w:t>
            </w: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0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,000</w:t>
            </w:r>
            <w:r w:rsidR="00CD102A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to include 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course </w:t>
            </w: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fees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,</w:t>
            </w:r>
            <w:r w:rsidR="00CD102A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college fees</w:t>
            </w: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, training costs and conference attendance </w:t>
            </w:r>
            <w:proofErr w:type="gramStart"/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etc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;</w:t>
            </w:r>
            <w:proofErr w:type="gramEnd"/>
          </w:p>
          <w:p w14:paraId="7B6BE34A" w14:textId="11BBF543" w:rsidR="00AB5F75" w:rsidRPr="00AB5F75" w:rsidRDefault="00CD102A" w:rsidP="00AB5F75">
            <w:pPr>
              <w:numPr>
                <w:ilvl w:val="0"/>
                <w:numId w:val="7"/>
              </w:numPr>
              <w:spacing w:before="100" w:beforeAutospacing="1" w:after="100" w:afterAutospacing="1"/>
              <w:ind w:left="456"/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R</w:t>
            </w:r>
            <w:r w:rsidRPr="008E3A66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esearch costs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: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R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esearch p</w:t>
            </w:r>
            <w:r w:rsidR="008E3A66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articipant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r w:rsidR="00CD1032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reimbursement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r w:rsidR="008E3A66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(£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2,500</w:t>
            </w:r>
            <w:r w:rsidR="008E3A66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)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; 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Consent procedures and patient case record retrieval costs (£</w:t>
            </w:r>
            <w:r w:rsidR="008E55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5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,000);</w:t>
            </w:r>
            <w:r w:rsidR="00CD1032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r w:rsidR="008E3A66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Travel and subsistence (£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2,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0</w:t>
            </w:r>
            <w:r w:rsidR="008E3A66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00)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; 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T</w:t>
            </w:r>
            <w:r w:rsidR="00251F18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ranscription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of call recordings and interview data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(£10,000);</w:t>
            </w:r>
            <w:r w:rsidR="00251F18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I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nterview </w:t>
            </w:r>
            <w:r w:rsidR="00251F18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translation costs (£</w:t>
            </w:r>
            <w:r w:rsidR="008E55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3</w:t>
            </w:r>
            <w:r w:rsidR="00251F18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00)</w:t>
            </w:r>
            <w:r w:rsid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; </w:t>
            </w:r>
            <w:r w:rsidR="008E3A66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Laptop (£700</w:t>
            </w:r>
            <w:proofErr w:type="gramStart"/>
            <w:r w:rsidR="008E3A66"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)</w:t>
            </w:r>
            <w:r w:rsidR="00AB5F75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;</w:t>
            </w:r>
            <w:proofErr w:type="gramEnd"/>
          </w:p>
          <w:p w14:paraId="7949697E" w14:textId="74FB7C79" w:rsidR="008E3A66" w:rsidRPr="00251F18" w:rsidRDefault="00AB5F75" w:rsidP="00AB5F75">
            <w:pPr>
              <w:numPr>
                <w:ilvl w:val="0"/>
                <w:numId w:val="7"/>
              </w:numPr>
              <w:spacing w:before="100" w:beforeAutospacing="1" w:after="100" w:afterAutospacing="1"/>
              <w:ind w:left="456"/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</w:pPr>
            <w:r w:rsidRPr="00251F18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P</w:t>
            </w:r>
            <w:r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PIE (£4,500)</w:t>
            </w:r>
            <w:r w:rsidR="00CD1032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>.</w:t>
            </w:r>
          </w:p>
        </w:tc>
      </w:tr>
      <w:tr w:rsidR="00E0356E" w:rsidRPr="00323521" w14:paraId="3B8B9ED2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E4D9FD" w14:textId="35CEF0FA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48269DFA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BB16FE4" w14:textId="7A2D5C0C" w:rsidR="00274ACB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Formal training:</w:t>
            </w:r>
          </w:p>
          <w:p w14:paraId="5EF91D29" w14:textId="485BF70D" w:rsidR="00E0356E" w:rsidRDefault="00D451AE" w:rsidP="00CA331F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A range of accredited </w:t>
            </w:r>
            <w:r w:rsidR="004E02B3">
              <w:rPr>
                <w:rFonts w:asciiTheme="minorHAnsi" w:hAnsiTheme="minorHAnsi"/>
                <w:b w:val="0"/>
                <w:szCs w:val="24"/>
              </w:rPr>
              <w:t>MSc modules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are available</w:t>
            </w:r>
            <w:r w:rsidR="00CA331F">
              <w:rPr>
                <w:rFonts w:asciiTheme="minorHAnsi" w:hAnsiTheme="minorHAnsi"/>
                <w:b w:val="0"/>
                <w:szCs w:val="24"/>
              </w:rPr>
              <w:t xml:space="preserve"> such as the Mixed Methods in Health Research course</w:t>
            </w:r>
            <w:r w:rsidR="004E02B3">
              <w:rPr>
                <w:rFonts w:asciiTheme="minorHAnsi" w:hAnsiTheme="minorHAnsi"/>
                <w:b w:val="0"/>
                <w:szCs w:val="24"/>
              </w:rPr>
              <w:t>,</w:t>
            </w:r>
            <w:r w:rsidR="00CA331F" w:rsidRPr="00CA331F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szCs w:val="24"/>
              </w:rPr>
              <w:t xml:space="preserve">alongside other Oxford </w:t>
            </w:r>
            <w:r w:rsidR="00CA331F">
              <w:rPr>
                <w:rFonts w:asciiTheme="minorHAnsi" w:hAnsiTheme="minorHAnsi"/>
                <w:b w:val="0"/>
                <w:szCs w:val="24"/>
              </w:rPr>
              <w:t>training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opportunities</w:t>
            </w:r>
            <w:r w:rsidR="00CA331F">
              <w:rPr>
                <w:rFonts w:asciiTheme="minorHAnsi" w:hAnsiTheme="minorHAnsi"/>
                <w:b w:val="0"/>
                <w:szCs w:val="24"/>
              </w:rPr>
              <w:t xml:space="preserve"> such as the </w:t>
            </w:r>
            <w:r w:rsidR="00CA331F" w:rsidRPr="00CA331F">
              <w:rPr>
                <w:rFonts w:asciiTheme="minorHAnsi" w:hAnsiTheme="minorHAnsi"/>
                <w:b w:val="0"/>
                <w:szCs w:val="24"/>
              </w:rPr>
              <w:t>Investigating Quality and Safety and Intervention Design in Health Services (IQID) Course</w:t>
            </w:r>
            <w:r w:rsidR="00CA331F">
              <w:rPr>
                <w:rFonts w:asciiTheme="minorHAnsi" w:hAnsiTheme="minorHAnsi"/>
                <w:b w:val="0"/>
                <w:szCs w:val="24"/>
              </w:rPr>
              <w:t xml:space="preserve">, </w:t>
            </w:r>
            <w:r>
              <w:rPr>
                <w:rFonts w:asciiTheme="minorHAnsi" w:hAnsiTheme="minorHAnsi"/>
                <w:b w:val="0"/>
                <w:szCs w:val="24"/>
              </w:rPr>
              <w:t xml:space="preserve">and </w:t>
            </w:r>
            <w:r w:rsidR="00CA331F" w:rsidRPr="00CA331F">
              <w:rPr>
                <w:rFonts w:asciiTheme="minorHAnsi" w:hAnsiTheme="minorHAnsi"/>
                <w:b w:val="0"/>
                <w:szCs w:val="24"/>
              </w:rPr>
              <w:t>Oxford Qualitative Cours</w:t>
            </w:r>
            <w:r w:rsidR="00CA331F">
              <w:rPr>
                <w:rFonts w:asciiTheme="minorHAnsi" w:hAnsiTheme="minorHAnsi"/>
                <w:b w:val="0"/>
                <w:szCs w:val="24"/>
              </w:rPr>
              <w:t>es</w:t>
            </w:r>
            <w:r>
              <w:rPr>
                <w:rFonts w:asciiTheme="minorHAnsi" w:hAnsiTheme="minorHAnsi"/>
                <w:b w:val="0"/>
                <w:szCs w:val="24"/>
              </w:rPr>
              <w:t>.</w:t>
            </w:r>
          </w:p>
          <w:p w14:paraId="44AB9CA3" w14:textId="77777777" w:rsidR="00CA331F" w:rsidRDefault="00CA331F" w:rsidP="00CA331F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4"/>
              </w:rPr>
            </w:pPr>
          </w:p>
          <w:p w14:paraId="617C201A" w14:textId="6A0B0C3E" w:rsidR="00CA331F" w:rsidRPr="00CA331F" w:rsidRDefault="00CA331F" w:rsidP="00CA331F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Cs w:val="24"/>
              </w:rPr>
            </w:pPr>
            <w:r w:rsidRPr="00CA331F">
              <w:rPr>
                <w:rFonts w:asciiTheme="minorHAnsi" w:hAnsiTheme="minorHAnsi"/>
                <w:b w:val="0"/>
                <w:szCs w:val="24"/>
              </w:rPr>
              <w:t>The University also provides excellent free training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in research,</w:t>
            </w:r>
            <w:r w:rsidR="002A40D3">
              <w:rPr>
                <w:rFonts w:asciiTheme="minorHAnsi" w:hAnsiTheme="minorHAnsi"/>
                <w:b w:val="0"/>
                <w:szCs w:val="24"/>
              </w:rPr>
              <w:t xml:space="preserve"> ethics,</w:t>
            </w:r>
            <w:r w:rsidRPr="00CA331F">
              <w:rPr>
                <w:rFonts w:asciiTheme="minorHAnsi" w:hAnsiTheme="minorHAnsi"/>
                <w:b w:val="0"/>
                <w:szCs w:val="24"/>
              </w:rPr>
              <w:t xml:space="preserve"> IT and personal development</w:t>
            </w:r>
            <w:r w:rsidR="00D451AE">
              <w:rPr>
                <w:rFonts w:asciiTheme="minorHAnsi" w:hAnsiTheme="minorHAnsi"/>
                <w:b w:val="0"/>
                <w:szCs w:val="24"/>
              </w:rPr>
              <w:t xml:space="preserve"> including 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>mandatory training for all</w:t>
            </w:r>
            <w:r w:rsidR="00835027">
              <w:rPr>
                <w:rFonts w:asciiTheme="minorHAnsi" w:hAnsiTheme="minorHAnsi"/>
                <w:b w:val="0"/>
                <w:szCs w:val="24"/>
              </w:rPr>
              <w:t xml:space="preserve"> research staff,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proofErr w:type="spellStart"/>
            <w:r w:rsidR="00D451AE" w:rsidRPr="00D451AE">
              <w:rPr>
                <w:rFonts w:asciiTheme="minorHAnsi" w:hAnsiTheme="minorHAnsi"/>
                <w:b w:val="0"/>
                <w:szCs w:val="24"/>
              </w:rPr>
              <w:t>Wellcome</w:t>
            </w:r>
            <w:proofErr w:type="spellEnd"/>
            <w:r w:rsidR="00835027">
              <w:rPr>
                <w:rFonts w:asciiTheme="minorHAnsi" w:hAnsiTheme="minorHAnsi"/>
                <w:b w:val="0"/>
                <w:szCs w:val="24"/>
              </w:rPr>
              <w:t>-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>funded and Oxford DPhil students in</w:t>
            </w:r>
            <w:r w:rsidR="00D451AE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>research integrity and EDI.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Our department hosts a vibrant international cohort of clinical and non-clinical DPhil and MSc students. It has a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well-established induction programme to ensure they have a positive start in the department and are aware of our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 xml:space="preserve">processes, resources available to them and our values. We have a </w:t>
            </w:r>
            <w:proofErr w:type="gramStart"/>
            <w:r w:rsidRPr="00CA331F">
              <w:rPr>
                <w:rFonts w:asciiTheme="minorHAnsi" w:hAnsiTheme="minorHAnsi"/>
                <w:b w:val="0"/>
                <w:szCs w:val="24"/>
              </w:rPr>
              <w:t>rigorous oversight procedures</w:t>
            </w:r>
            <w:proofErr w:type="gramEnd"/>
            <w:r w:rsidRPr="00CA331F">
              <w:rPr>
                <w:rFonts w:asciiTheme="minorHAnsi" w:hAnsiTheme="minorHAnsi"/>
                <w:b w:val="0"/>
                <w:szCs w:val="24"/>
              </w:rPr>
              <w:t xml:space="preserve"> for doctoral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 xml:space="preserve">students, led by </w:t>
            </w:r>
            <w:r w:rsidR="00CD1032">
              <w:rPr>
                <w:rFonts w:asciiTheme="minorHAnsi" w:hAnsiTheme="minorHAnsi"/>
                <w:b w:val="0"/>
                <w:szCs w:val="24"/>
              </w:rPr>
              <w:t>our</w:t>
            </w:r>
            <w:r w:rsidRPr="00CA331F">
              <w:rPr>
                <w:rFonts w:asciiTheme="minorHAnsi" w:hAnsiTheme="minorHAnsi"/>
                <w:b w:val="0"/>
                <w:szCs w:val="24"/>
              </w:rPr>
              <w:t xml:space="preserve"> Graduate Studies team. Departmental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oversight includes regular contact with a core experienced supervisory team, quarterly supervisor and student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supervision reports, regular opportunities to consider skills training needs, clear milestones for progression, and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additional pastoral support from college advisors. Our DPhil working group provides a peer network and a buddy</w:t>
            </w:r>
            <w:r w:rsidR="00D451AE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system for new starters, as well as being a forum to exchange feedback and information between the students and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departmental committees.</w:t>
            </w:r>
          </w:p>
          <w:p w14:paraId="33B07D62" w14:textId="77777777" w:rsidR="00D451AE" w:rsidRDefault="00D451AE" w:rsidP="00CA331F">
            <w:pPr>
              <w:autoSpaceDE w:val="0"/>
              <w:autoSpaceDN w:val="0"/>
              <w:adjustRightInd w:val="0"/>
              <w:rPr>
                <w:rFonts w:asciiTheme="minorHAnsi" w:hAnsiTheme="minorHAnsi"/>
                <w:bCs w:val="0"/>
                <w:szCs w:val="24"/>
              </w:rPr>
            </w:pPr>
          </w:p>
          <w:p w14:paraId="411E72CB" w14:textId="2C618177" w:rsidR="00CA331F" w:rsidRPr="00CA331F" w:rsidRDefault="00CA331F" w:rsidP="00CA331F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szCs w:val="24"/>
              </w:rPr>
            </w:pPr>
            <w:r w:rsidRPr="00CA331F">
              <w:rPr>
                <w:rFonts w:asciiTheme="minorHAnsi" w:hAnsiTheme="minorHAnsi"/>
                <w:b w:val="0"/>
                <w:szCs w:val="24"/>
              </w:rPr>
              <w:t>The department has a well-attended monthly seminar series that includes sessions for students to chair or present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their work. We have termly research student away-days to enable all students to present their work and obtain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feedback from more senior staff. We regularly invite DPhil students to join the meals following our Senior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Academic Committee meetings to encourage informal contacts and to ensure the senior leadership team are well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connected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CA331F">
              <w:rPr>
                <w:rFonts w:asciiTheme="minorHAnsi" w:hAnsiTheme="minorHAnsi"/>
                <w:b w:val="0"/>
                <w:szCs w:val="24"/>
              </w:rPr>
              <w:t>with our next generation of researchers</w:t>
            </w:r>
            <w:r>
              <w:rPr>
                <w:rFonts w:asciiTheme="minorHAnsi" w:hAnsiTheme="minorHAnsi"/>
                <w:b w:val="0"/>
                <w:szCs w:val="24"/>
              </w:rPr>
              <w:t>.</w:t>
            </w:r>
          </w:p>
        </w:tc>
      </w:tr>
      <w:tr w:rsidR="00EA7C68" w:rsidRPr="00323521" w14:paraId="581BD96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0483867" w14:textId="77777777" w:rsidR="00EA7C6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Informal training:</w:t>
            </w: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1A7365FA" w14:textId="15BF7B72" w:rsidR="00EA7C68" w:rsidRPr="00915498" w:rsidRDefault="001D59D8" w:rsidP="00D451AE">
            <w:pPr>
              <w:rPr>
                <w:rFonts w:asciiTheme="minorHAnsi" w:hAnsiTheme="minorHAnsi"/>
                <w:iCs/>
                <w:szCs w:val="24"/>
              </w:rPr>
            </w:pPr>
            <w:r w:rsidRPr="00D451AE">
              <w:rPr>
                <w:rFonts w:asciiTheme="minorHAnsi" w:hAnsiTheme="minorHAnsi"/>
                <w:b w:val="0"/>
                <w:szCs w:val="24"/>
              </w:rPr>
              <w:t>The successful candidate will be hosted by the Medical Sociology and Health Experiences Research Group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 xml:space="preserve"> (MS&amp;HERG)</w:t>
            </w:r>
            <w:r w:rsidRPr="00D451AE">
              <w:rPr>
                <w:rFonts w:asciiTheme="minorHAnsi" w:hAnsiTheme="minorHAnsi"/>
                <w:b w:val="0"/>
                <w:szCs w:val="24"/>
              </w:rPr>
              <w:t xml:space="preserve"> (co-directed by Prof. Pope)</w:t>
            </w:r>
            <w:r w:rsidR="00D451AE">
              <w:rPr>
                <w:rFonts w:asciiTheme="minorHAnsi" w:hAnsiTheme="minorHAnsi"/>
                <w:b w:val="0"/>
                <w:szCs w:val="24"/>
              </w:rPr>
              <w:t xml:space="preserve"> under the group’s o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>rganisation and delivery of primary and urgent care</w:t>
            </w:r>
            <w:r w:rsidR="00D451AE">
              <w:rPr>
                <w:rFonts w:asciiTheme="minorHAnsi" w:hAnsiTheme="minorHAnsi"/>
                <w:b w:val="0"/>
                <w:szCs w:val="24"/>
              </w:rPr>
              <w:t xml:space="preserve"> theme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D451AE">
              <w:rPr>
                <w:rFonts w:asciiTheme="minorHAnsi" w:hAnsiTheme="minorHAnsi"/>
                <w:b w:val="0"/>
                <w:szCs w:val="24"/>
              </w:rPr>
              <w:t xml:space="preserve">and be a member of Dr Barnes’ PRIMA team (currently two DPhil students, a SPCR </w:t>
            </w:r>
            <w:r w:rsidR="00835027">
              <w:rPr>
                <w:rFonts w:asciiTheme="minorHAnsi" w:hAnsiTheme="minorHAnsi"/>
                <w:b w:val="0"/>
                <w:szCs w:val="24"/>
              </w:rPr>
              <w:t>p</w:t>
            </w:r>
            <w:r w:rsidRPr="00D451AE">
              <w:rPr>
                <w:rFonts w:asciiTheme="minorHAnsi" w:hAnsiTheme="minorHAnsi"/>
                <w:b w:val="0"/>
                <w:szCs w:val="24"/>
              </w:rPr>
              <w:t xml:space="preserve">ost-doctoral researcher and </w:t>
            </w:r>
            <w:r w:rsidR="00835027">
              <w:rPr>
                <w:rFonts w:asciiTheme="minorHAnsi" w:hAnsiTheme="minorHAnsi"/>
                <w:b w:val="0"/>
                <w:szCs w:val="24"/>
              </w:rPr>
              <w:t xml:space="preserve">an experienced </w:t>
            </w:r>
            <w:r w:rsidRPr="00D451AE">
              <w:rPr>
                <w:rFonts w:asciiTheme="minorHAnsi" w:hAnsiTheme="minorHAnsi"/>
                <w:b w:val="0"/>
                <w:szCs w:val="24"/>
              </w:rPr>
              <w:t xml:space="preserve">qualitative researcher) who are working on a programme of research on the management of patient risk in urgent primary care. They will have access to </w:t>
            </w:r>
            <w:r w:rsidR="00D451AE">
              <w:rPr>
                <w:rFonts w:asciiTheme="minorHAnsi" w:hAnsiTheme="minorHAnsi"/>
                <w:b w:val="0"/>
                <w:szCs w:val="24"/>
              </w:rPr>
              <w:t xml:space="preserve">regular </w:t>
            </w:r>
            <w:r w:rsidRPr="00D451AE">
              <w:rPr>
                <w:rFonts w:asciiTheme="minorHAnsi" w:hAnsiTheme="minorHAnsi"/>
                <w:b w:val="0"/>
                <w:szCs w:val="24"/>
              </w:rPr>
              <w:t>supervision meetings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>, monthly</w:t>
            </w:r>
            <w:r w:rsidRPr="00D451AE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 xml:space="preserve">MS&amp;HERG meetings where they can present their work and receive </w:t>
            </w:r>
            <w:proofErr w:type="gramStart"/>
            <w:r w:rsidR="00B95EEE" w:rsidRPr="00D451AE">
              <w:rPr>
                <w:rFonts w:asciiTheme="minorHAnsi" w:hAnsiTheme="minorHAnsi"/>
                <w:b w:val="0"/>
                <w:szCs w:val="24"/>
              </w:rPr>
              <w:t>feedback,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 xml:space="preserve"> and</w:t>
            </w:r>
            <w:proofErr w:type="gramEnd"/>
            <w:r w:rsidR="00D451AE" w:rsidRPr="00D451AE">
              <w:rPr>
                <w:rFonts w:asciiTheme="minorHAnsi" w:hAnsiTheme="minorHAnsi"/>
                <w:b w:val="0"/>
                <w:szCs w:val="24"/>
              </w:rPr>
              <w:t xml:space="preserve"> writing retreats.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 xml:space="preserve">They 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>will</w:t>
            </w:r>
            <w:r w:rsidR="00D451AE" w:rsidRPr="00D451AE">
              <w:rPr>
                <w:rFonts w:asciiTheme="minorHAnsi" w:hAnsiTheme="minorHAnsi"/>
                <w:b w:val="0"/>
                <w:szCs w:val="24"/>
              </w:rPr>
              <w:t xml:space="preserve"> also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D451AE">
              <w:rPr>
                <w:rFonts w:asciiTheme="minorHAnsi" w:hAnsiTheme="minorHAnsi"/>
                <w:b w:val="0"/>
                <w:szCs w:val="24"/>
              </w:rPr>
              <w:t>be encourage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>d</w:t>
            </w:r>
            <w:r w:rsidRPr="00D451AE">
              <w:rPr>
                <w:rFonts w:asciiTheme="minorHAnsi" w:hAnsiTheme="minorHAnsi"/>
                <w:b w:val="0"/>
                <w:szCs w:val="24"/>
              </w:rPr>
              <w:t xml:space="preserve"> to link with other relevant research groups in the department such as the</w:t>
            </w:r>
            <w:r w:rsidR="00B95EEE" w:rsidRPr="00D451AE">
              <w:rPr>
                <w:rFonts w:asciiTheme="minorHAnsi" w:hAnsiTheme="minorHAnsi"/>
                <w:b w:val="0"/>
                <w:szCs w:val="24"/>
              </w:rPr>
              <w:t xml:space="preserve"> Infection, Respiratory and Acute Care Group</w:t>
            </w:r>
            <w:r w:rsidRPr="00D451AE">
              <w:rPr>
                <w:rFonts w:asciiTheme="minorHAnsi" w:hAnsiTheme="minorHAnsi"/>
                <w:b w:val="0"/>
                <w:szCs w:val="24"/>
              </w:rPr>
              <w:t>.</w:t>
            </w:r>
            <w:r w:rsidRPr="00EB5597">
              <w:rPr>
                <w:rFonts w:asciiTheme="minorHAnsi" w:hAnsiTheme="minorHAnsi"/>
                <w:b w:val="0"/>
                <w:bCs w:val="0"/>
                <w:color w:val="000000" w:themeColor="text1"/>
                <w:szCs w:val="24"/>
              </w:rPr>
              <w:t xml:space="preserve"> </w:t>
            </w:r>
          </w:p>
        </w:tc>
      </w:tr>
      <w:tr w:rsidR="00EA7C68" w:rsidRPr="00323521" w14:paraId="76FB9CF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29CFA5E" w14:textId="77777777" w:rsidR="009D2CE8" w:rsidRDefault="00EA7C68" w:rsidP="00B95EEE">
            <w:pPr>
              <w:pStyle w:val="BodyText2"/>
              <w:tabs>
                <w:tab w:val="clear" w:pos="720"/>
              </w:tabs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PPIE</w:t>
            </w:r>
            <w:r w:rsidRPr="00852F2F">
              <w:rPr>
                <w:rFonts w:asciiTheme="minorHAnsi" w:hAnsiTheme="minorHAnsi" w:cs="Arial"/>
                <w:iCs/>
                <w:sz w:val="24"/>
                <w:szCs w:val="24"/>
              </w:rPr>
              <w:t xml:space="preserve">: </w:t>
            </w:r>
          </w:p>
          <w:p w14:paraId="48977F4E" w14:textId="1EC847BD" w:rsidR="00EA7C68" w:rsidRPr="00FB762E" w:rsidRDefault="001D59D8" w:rsidP="00FB762E">
            <w:pPr>
              <w:pStyle w:val="BodyText2"/>
              <w:tabs>
                <w:tab w:val="clear" w:pos="720"/>
              </w:tabs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iCs/>
                <w:sz w:val="24"/>
                <w:szCs w:val="24"/>
              </w:rPr>
              <w:t>PPIE training, funding and support are available for all Oxford DPhil students</w:t>
            </w:r>
            <w:r w:rsidR="00B95EE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supported by our Patient and Public Involvement Manager, Polly Kerr, who also has a background in health communication.</w:t>
            </w:r>
            <w:r w:rsidR="00CA331F">
              <w:rPr>
                <w:rFonts w:asciiTheme="minorHAnsi" w:hAnsiTheme="minorHAnsi" w:cs="Arial"/>
                <w:iCs/>
                <w:sz w:val="24"/>
                <w:szCs w:val="24"/>
              </w:rPr>
              <w:t xml:space="preserve"> The successful candidate will be </w:t>
            </w:r>
            <w:r w:rsidR="00D451AE">
              <w:rPr>
                <w:rFonts w:asciiTheme="minorHAnsi" w:hAnsiTheme="minorHAnsi" w:cs="Arial"/>
                <w:iCs/>
                <w:sz w:val="24"/>
                <w:szCs w:val="24"/>
              </w:rPr>
              <w:t>expected to design a programme of meaningful PPIE</w:t>
            </w:r>
            <w:r w:rsidR="00AD5E65">
              <w:rPr>
                <w:rFonts w:asciiTheme="minorHAnsi" w:hAnsiTheme="minorHAnsi" w:cs="Arial"/>
                <w:iCs/>
                <w:sz w:val="24"/>
                <w:szCs w:val="24"/>
              </w:rPr>
              <w:t>,</w:t>
            </w:r>
            <w:r w:rsidR="00D451A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with diverse caregiver representatives </w:t>
            </w:r>
            <w:r w:rsidR="00AD5E65">
              <w:rPr>
                <w:rFonts w:asciiTheme="minorHAnsi" w:hAnsiTheme="minorHAnsi" w:cs="Arial"/>
                <w:iCs/>
                <w:sz w:val="24"/>
                <w:szCs w:val="24"/>
              </w:rPr>
              <w:t>who have</w:t>
            </w:r>
            <w:r w:rsidR="00D451A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lived experience </w:t>
            </w:r>
            <w:r w:rsidR="00835027">
              <w:rPr>
                <w:rFonts w:asciiTheme="minorHAnsi" w:hAnsiTheme="minorHAnsi" w:cs="Arial"/>
                <w:iCs/>
                <w:sz w:val="24"/>
                <w:szCs w:val="24"/>
              </w:rPr>
              <w:t>of seeking help for a child patient during the outbreak</w:t>
            </w:r>
            <w:r w:rsidR="00AD5E65">
              <w:rPr>
                <w:rFonts w:asciiTheme="minorHAnsi" w:hAnsiTheme="minorHAnsi" w:cs="Arial"/>
                <w:iCs/>
                <w:sz w:val="24"/>
                <w:szCs w:val="24"/>
              </w:rPr>
              <w:t>,</w:t>
            </w:r>
            <w:r w:rsidR="00835027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  <w:r w:rsidR="00D451AE">
              <w:rPr>
                <w:rFonts w:asciiTheme="minorHAnsi" w:hAnsiTheme="minorHAnsi" w:cs="Arial"/>
                <w:iCs/>
                <w:sz w:val="24"/>
                <w:szCs w:val="24"/>
              </w:rPr>
              <w:t>as a vertical theme throughout their project.</w:t>
            </w:r>
            <w:r w:rsidR="00CA331F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</w:p>
        </w:tc>
      </w:tr>
    </w:tbl>
    <w:p w14:paraId="46B50958" w14:textId="77777777" w:rsidR="00FB762E" w:rsidRPr="00FB762E" w:rsidRDefault="00FB762E" w:rsidP="00FB762E">
      <w:pPr>
        <w:jc w:val="center"/>
        <w:rPr>
          <w:rFonts w:asciiTheme="minorHAnsi" w:hAnsiTheme="minorHAnsi"/>
          <w:szCs w:val="24"/>
        </w:rPr>
      </w:pPr>
    </w:p>
    <w:sectPr w:rsidR="00FB762E" w:rsidRPr="00FB762E" w:rsidSect="00EA7C68">
      <w:headerReference w:type="default" r:id="rId11"/>
      <w:footerReference w:type="default" r:id="rId12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6EA71" w14:textId="77777777" w:rsidR="00B131FA" w:rsidRDefault="00B131FA" w:rsidP="008A5DEB">
      <w:pPr>
        <w:spacing w:after="0" w:line="240" w:lineRule="auto"/>
      </w:pPr>
      <w:r>
        <w:separator/>
      </w:r>
    </w:p>
  </w:endnote>
  <w:endnote w:type="continuationSeparator" w:id="0">
    <w:p w14:paraId="26DBC307" w14:textId="77777777" w:rsidR="00B131FA" w:rsidRDefault="00B131FA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B00D" w14:textId="53736325" w:rsidR="00FF6AEA" w:rsidRDefault="00FF6AEA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537" w14:textId="77777777" w:rsidR="00B131FA" w:rsidRDefault="00B131FA" w:rsidP="008A5DEB">
      <w:pPr>
        <w:spacing w:after="0" w:line="240" w:lineRule="auto"/>
      </w:pPr>
      <w:r>
        <w:separator/>
      </w:r>
    </w:p>
  </w:footnote>
  <w:footnote w:type="continuationSeparator" w:id="0">
    <w:p w14:paraId="08D434F6" w14:textId="77777777" w:rsidR="00B131FA" w:rsidRDefault="00B131FA" w:rsidP="008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953B" w14:textId="72AFD4FD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</w:t>
    </w:r>
    <w:r w:rsidR="00DB448A">
      <w:rPr>
        <w:rFonts w:ascii="Calibri" w:hAnsi="Calibri" w:cs="Calibri"/>
      </w:rPr>
      <w:t>5</w:t>
    </w:r>
    <w:r w:rsidRPr="00FF6AEA">
      <w:rPr>
        <w:rFonts w:ascii="Calibri" w:hAnsi="Calibri" w:cs="Calibri"/>
      </w:rPr>
      <w:t xml:space="preserve"> 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21E"/>
    <w:multiLevelType w:val="hybridMultilevel"/>
    <w:tmpl w:val="8C1A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D568B"/>
    <w:multiLevelType w:val="multilevel"/>
    <w:tmpl w:val="B290B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108DA"/>
    <w:multiLevelType w:val="hybridMultilevel"/>
    <w:tmpl w:val="792C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53DD"/>
    <w:multiLevelType w:val="hybridMultilevel"/>
    <w:tmpl w:val="F3E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5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6F65D4"/>
    <w:multiLevelType w:val="hybridMultilevel"/>
    <w:tmpl w:val="9E10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5668">
    <w:abstractNumId w:val="5"/>
  </w:num>
  <w:num w:numId="2" w16cid:durableId="1742412157">
    <w:abstractNumId w:val="4"/>
  </w:num>
  <w:num w:numId="3" w16cid:durableId="840050803">
    <w:abstractNumId w:val="6"/>
  </w:num>
  <w:num w:numId="4" w16cid:durableId="1345475351">
    <w:abstractNumId w:val="3"/>
  </w:num>
  <w:num w:numId="5" w16cid:durableId="109517643">
    <w:abstractNumId w:val="0"/>
  </w:num>
  <w:num w:numId="6" w16cid:durableId="1270238710">
    <w:abstractNumId w:val="2"/>
  </w:num>
  <w:num w:numId="7" w16cid:durableId="37357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6E"/>
    <w:rsid w:val="00025D85"/>
    <w:rsid w:val="00026DA0"/>
    <w:rsid w:val="00071DC2"/>
    <w:rsid w:val="0009232A"/>
    <w:rsid w:val="0009688E"/>
    <w:rsid w:val="000B7F1F"/>
    <w:rsid w:val="000D55BF"/>
    <w:rsid w:val="000D55F7"/>
    <w:rsid w:val="00124198"/>
    <w:rsid w:val="00140508"/>
    <w:rsid w:val="00180A1A"/>
    <w:rsid w:val="001866E9"/>
    <w:rsid w:val="001D59D8"/>
    <w:rsid w:val="001D693B"/>
    <w:rsid w:val="001E0940"/>
    <w:rsid w:val="001F0F18"/>
    <w:rsid w:val="00220D1C"/>
    <w:rsid w:val="002304B1"/>
    <w:rsid w:val="00244693"/>
    <w:rsid w:val="00251F18"/>
    <w:rsid w:val="00274ACB"/>
    <w:rsid w:val="002A1B47"/>
    <w:rsid w:val="002A40D3"/>
    <w:rsid w:val="002B0282"/>
    <w:rsid w:val="002C4FB5"/>
    <w:rsid w:val="002E517D"/>
    <w:rsid w:val="002F31FE"/>
    <w:rsid w:val="00323521"/>
    <w:rsid w:val="00336555"/>
    <w:rsid w:val="003423C7"/>
    <w:rsid w:val="00362B4E"/>
    <w:rsid w:val="00421618"/>
    <w:rsid w:val="0047180B"/>
    <w:rsid w:val="0047474B"/>
    <w:rsid w:val="00496E20"/>
    <w:rsid w:val="004B522E"/>
    <w:rsid w:val="004B6725"/>
    <w:rsid w:val="004C1191"/>
    <w:rsid w:val="004E02B3"/>
    <w:rsid w:val="004E3BC1"/>
    <w:rsid w:val="005053DF"/>
    <w:rsid w:val="00515545"/>
    <w:rsid w:val="00515863"/>
    <w:rsid w:val="00531E4D"/>
    <w:rsid w:val="00540F80"/>
    <w:rsid w:val="00543FB0"/>
    <w:rsid w:val="00573773"/>
    <w:rsid w:val="00587E36"/>
    <w:rsid w:val="005B49E8"/>
    <w:rsid w:val="005C15ED"/>
    <w:rsid w:val="005C4CA2"/>
    <w:rsid w:val="005C7BA0"/>
    <w:rsid w:val="005F1146"/>
    <w:rsid w:val="005F7315"/>
    <w:rsid w:val="00630148"/>
    <w:rsid w:val="006A7BA3"/>
    <w:rsid w:val="006C6926"/>
    <w:rsid w:val="006D6FD1"/>
    <w:rsid w:val="006F719E"/>
    <w:rsid w:val="00703D6A"/>
    <w:rsid w:val="00713AE1"/>
    <w:rsid w:val="00737E94"/>
    <w:rsid w:val="00737F96"/>
    <w:rsid w:val="00741777"/>
    <w:rsid w:val="00741D92"/>
    <w:rsid w:val="00744D9E"/>
    <w:rsid w:val="00747A0E"/>
    <w:rsid w:val="0075747A"/>
    <w:rsid w:val="007769D2"/>
    <w:rsid w:val="00787EF3"/>
    <w:rsid w:val="007958CC"/>
    <w:rsid w:val="007B2596"/>
    <w:rsid w:val="007E1031"/>
    <w:rsid w:val="007E11EC"/>
    <w:rsid w:val="008220CD"/>
    <w:rsid w:val="008245A9"/>
    <w:rsid w:val="0082712F"/>
    <w:rsid w:val="00835027"/>
    <w:rsid w:val="008410F0"/>
    <w:rsid w:val="008448FF"/>
    <w:rsid w:val="00852F2F"/>
    <w:rsid w:val="00873A17"/>
    <w:rsid w:val="008748FD"/>
    <w:rsid w:val="00895F21"/>
    <w:rsid w:val="008A2C2E"/>
    <w:rsid w:val="008A5DEB"/>
    <w:rsid w:val="008B2CD4"/>
    <w:rsid w:val="008E3A66"/>
    <w:rsid w:val="008E5532"/>
    <w:rsid w:val="008F66D0"/>
    <w:rsid w:val="009048D1"/>
    <w:rsid w:val="00913671"/>
    <w:rsid w:val="00915498"/>
    <w:rsid w:val="00927699"/>
    <w:rsid w:val="00937477"/>
    <w:rsid w:val="00950F3C"/>
    <w:rsid w:val="00956790"/>
    <w:rsid w:val="0095795B"/>
    <w:rsid w:val="009A0F09"/>
    <w:rsid w:val="009A59ED"/>
    <w:rsid w:val="009A63D4"/>
    <w:rsid w:val="009C4BA9"/>
    <w:rsid w:val="009D2CE8"/>
    <w:rsid w:val="009D734F"/>
    <w:rsid w:val="009F24DA"/>
    <w:rsid w:val="009F78EF"/>
    <w:rsid w:val="00A16F3D"/>
    <w:rsid w:val="00A23D70"/>
    <w:rsid w:val="00A87625"/>
    <w:rsid w:val="00AA2D17"/>
    <w:rsid w:val="00AB5F75"/>
    <w:rsid w:val="00AC5D34"/>
    <w:rsid w:val="00AC69F6"/>
    <w:rsid w:val="00AD5C71"/>
    <w:rsid w:val="00AD5E65"/>
    <w:rsid w:val="00B131FA"/>
    <w:rsid w:val="00B22CB1"/>
    <w:rsid w:val="00B2657E"/>
    <w:rsid w:val="00B307D0"/>
    <w:rsid w:val="00B32C43"/>
    <w:rsid w:val="00B6610D"/>
    <w:rsid w:val="00B95EEE"/>
    <w:rsid w:val="00BD28B0"/>
    <w:rsid w:val="00BE4A79"/>
    <w:rsid w:val="00C07FA2"/>
    <w:rsid w:val="00C20B6D"/>
    <w:rsid w:val="00C23141"/>
    <w:rsid w:val="00C258FF"/>
    <w:rsid w:val="00C27AF5"/>
    <w:rsid w:val="00C30379"/>
    <w:rsid w:val="00C5012C"/>
    <w:rsid w:val="00C61C47"/>
    <w:rsid w:val="00C6532A"/>
    <w:rsid w:val="00C971CE"/>
    <w:rsid w:val="00CA331F"/>
    <w:rsid w:val="00CD102A"/>
    <w:rsid w:val="00CD1032"/>
    <w:rsid w:val="00CD249B"/>
    <w:rsid w:val="00D451AE"/>
    <w:rsid w:val="00D60AB7"/>
    <w:rsid w:val="00D863E1"/>
    <w:rsid w:val="00D8754A"/>
    <w:rsid w:val="00DB448A"/>
    <w:rsid w:val="00DB5AB9"/>
    <w:rsid w:val="00DC295E"/>
    <w:rsid w:val="00DC30E2"/>
    <w:rsid w:val="00DD21ED"/>
    <w:rsid w:val="00DD4BC9"/>
    <w:rsid w:val="00DE64A4"/>
    <w:rsid w:val="00E0356E"/>
    <w:rsid w:val="00E10084"/>
    <w:rsid w:val="00E72B42"/>
    <w:rsid w:val="00E9006C"/>
    <w:rsid w:val="00EA7C68"/>
    <w:rsid w:val="00EC6D60"/>
    <w:rsid w:val="00ED3CFA"/>
    <w:rsid w:val="00EE4F53"/>
    <w:rsid w:val="00EE7184"/>
    <w:rsid w:val="00EF0212"/>
    <w:rsid w:val="00F36BC7"/>
    <w:rsid w:val="00FA7566"/>
    <w:rsid w:val="00FB762E"/>
    <w:rsid w:val="00FE3ED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41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23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5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55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5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E4A7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9006C"/>
  </w:style>
  <w:style w:type="character" w:customStyle="1" w:styleId="outlook-search-highlight">
    <w:name w:val="outlook-search-highlight"/>
    <w:basedOn w:val="DefaultParagraphFont"/>
    <w:rsid w:val="00E9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C"/>
    <w:rsid w:val="002D5D4E"/>
    <w:rsid w:val="002F3C45"/>
    <w:rsid w:val="003E2CE9"/>
    <w:rsid w:val="004B522E"/>
    <w:rsid w:val="00543FB0"/>
    <w:rsid w:val="005B3E19"/>
    <w:rsid w:val="005E6D53"/>
    <w:rsid w:val="005F1D88"/>
    <w:rsid w:val="00607F77"/>
    <w:rsid w:val="00845F8A"/>
    <w:rsid w:val="009213BD"/>
    <w:rsid w:val="009B098C"/>
    <w:rsid w:val="00C30379"/>
    <w:rsid w:val="00CC5D3D"/>
    <w:rsid w:val="00D639B8"/>
    <w:rsid w:val="00E36D6C"/>
    <w:rsid w:val="00E469B2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20" ma:contentTypeDescription="Create a new document." ma:contentTypeScope="" ma:versionID="63b4fe91149b2636a80ae557d40f92b6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11ea1fedad7526b14814e4ad0442e3b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243C5-3EE6-974D-A870-B225F0355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4BDB2-EADA-4017-B4A5-416FE188BB48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0A1BDC16-A2A0-4632-B898-DD13166BB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96BCC-0421-43E6-B57A-072AA892A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pra79</dc:creator>
  <cp:lastModifiedBy>Jess Nye</cp:lastModifiedBy>
  <cp:revision>10</cp:revision>
  <cp:lastPrinted>2022-01-11T06:49:00Z</cp:lastPrinted>
  <dcterms:created xsi:type="dcterms:W3CDTF">2024-07-30T22:09:00Z</dcterms:created>
  <dcterms:modified xsi:type="dcterms:W3CDTF">2024-08-14T13:17:00Z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