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5A7C8287" w:rsidR="002F31FE" w:rsidRPr="002F31FE" w:rsidRDefault="002F31FE">
      <w:pPr>
        <w:rPr>
          <w:rFonts w:ascii="Calibri" w:hAnsi="Calibri" w:cs="Calibri"/>
        </w:rPr>
      </w:pPr>
      <w:r w:rsidRPr="002F31FE">
        <w:rPr>
          <w:rFonts w:ascii="Calibri" w:hAnsi="Calibri" w:cs="Calibri"/>
        </w:rPr>
        <w:t>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55DB5AC8"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A06F63">
                  <w:rPr>
                    <w:rFonts w:asciiTheme="minorHAnsi" w:hAnsiTheme="minorHAnsi"/>
                    <w:color w:val="2E74B5" w:themeColor="accent1" w:themeShade="BF"/>
                    <w:sz w:val="28"/>
                    <w:szCs w:val="24"/>
                  </w:rPr>
                  <w:t>Oxford</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093F12AE" w:rsidR="00220D1C" w:rsidRPr="00FB7FE3" w:rsidRDefault="00FB7FE3" w:rsidP="00FB7FE3">
            <w:r>
              <w:t>Consideration of using non-concurrent controls and time trends in adaptive platform trials: The what, the why and the how</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0D6C7B8E"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FB7FE3" w:rsidRPr="00FB7FE3">
              <w:rPr>
                <w:rFonts w:asciiTheme="minorHAnsi" w:hAnsiTheme="minorHAnsi"/>
                <w:color w:val="000000" w:themeColor="text1"/>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DC212EF" w14:textId="7E11D672" w:rsidR="00220D1C" w:rsidRPr="00A06F63" w:rsidRDefault="00FB7FE3" w:rsidP="00A06F63">
            <w:pPr>
              <w:ind w:left="-120"/>
              <w:rPr>
                <w:b w:val="0"/>
                <w:bCs w:val="0"/>
              </w:rPr>
            </w:pPr>
            <w:r w:rsidRPr="00FB7FE3">
              <w:rPr>
                <w:rFonts w:asciiTheme="minorHAnsi" w:hAnsiTheme="minorHAnsi"/>
                <w:b w:val="0"/>
                <w:bCs w:val="0"/>
                <w:color w:val="000000" w:themeColor="text1"/>
                <w:szCs w:val="24"/>
              </w:rPr>
              <w:t>Ly-Mee Yu</w:t>
            </w:r>
          </w:p>
          <w:p w14:paraId="2E813242" w14:textId="77777777" w:rsidR="00FA2062" w:rsidRDefault="000D55F7" w:rsidP="00FA2062">
            <w:pPr>
              <w:ind w:left="-120"/>
              <w:rPr>
                <w:b w:val="0"/>
                <w:bCs w:val="0"/>
              </w:rPr>
            </w:pPr>
            <w:r w:rsidRPr="000D55F7">
              <w:t>Other members of the supervisory team</w:t>
            </w:r>
            <w:r w:rsidR="00220D1C">
              <w:t xml:space="preserve"> </w:t>
            </w:r>
          </w:p>
          <w:p w14:paraId="5AED4EC0" w14:textId="39849627" w:rsidR="00220D1C" w:rsidRPr="00FA2062" w:rsidRDefault="00FA2062" w:rsidP="00FA2062">
            <w:pPr>
              <w:ind w:left="-120"/>
              <w:rPr>
                <w:rFonts w:asciiTheme="minorHAnsi" w:hAnsiTheme="minorHAnsi"/>
                <w:b w:val="0"/>
                <w:bCs w:val="0"/>
                <w:color w:val="FF0000"/>
                <w:szCs w:val="24"/>
              </w:rPr>
            </w:pPr>
            <w:r w:rsidRPr="00FA2062">
              <w:rPr>
                <w:rFonts w:asciiTheme="minorHAnsi" w:hAnsiTheme="minorHAnsi"/>
                <w:color w:val="000000" w:themeColor="text1"/>
                <w:szCs w:val="24"/>
              </w:rPr>
              <w:t>Jane Holmes, Chris Butler</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13F55939" w14:textId="77777777" w:rsidR="00220D1C" w:rsidRDefault="00220D1C" w:rsidP="00220D1C">
            <w:pPr>
              <w:rPr>
                <w:rFonts w:asciiTheme="minorHAnsi" w:hAnsiTheme="minorHAnsi"/>
                <w:bCs w:val="0"/>
                <w:szCs w:val="24"/>
              </w:rPr>
            </w:pPr>
          </w:p>
          <w:p w14:paraId="50BCF822" w14:textId="77777777" w:rsidR="00220D1C" w:rsidRDefault="00220D1C" w:rsidP="00220D1C">
            <w:pPr>
              <w:rPr>
                <w:rFonts w:asciiTheme="minorHAnsi" w:hAnsiTheme="minorHAnsi"/>
                <w:bCs w:val="0"/>
                <w:szCs w:val="24"/>
              </w:rPr>
            </w:pP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B3E5896"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During the COVID-19 pandemic, the impetus to find potentially effective interventions as quickly as possible has driven an increased interest in adaptive design trials.  Platform designs, in particular, have many attractive features and are more efficient compared to traditional two-arm parallel randomised clinical trials (RCTs).    The trial design has the flexibility to allow additional interventions to be added in, or to replace existing interventions according to pre-specified criteria.  It also allows simultaneous comparison of multiple potential invention groups against a single control.  (Berry, Connor and Lewis, 2015).</w:t>
            </w:r>
          </w:p>
          <w:p w14:paraId="31D958B2"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This has the potential to increase efficiency in terms of the numbers of participants recruited and the time to reach conclusions about efficacy and futility.  An additional advantage lies in the opportunity to further reduce sample size by including non-concurrent controls in the analysis.  This means that participants who are randomised to the control group before a treatment arm is active can contribute to the analysis of that treatment. However, there are divided opinions on when and how these controls should be included due to the potential negative effects of doing so under the occurrence of time trends. </w:t>
            </w:r>
            <w:sdt>
              <w:sdtPr>
                <w:rPr>
                  <w:rFonts w:asciiTheme="minorHAnsi" w:hAnsiTheme="minorHAnsi" w:cstheme="minorHAnsi"/>
                </w:rPr>
                <w:tag w:val="goog_rdk_0"/>
                <w:id w:val="-1042282430"/>
              </w:sdtPr>
              <w:sdtEndPr/>
              <w:sdtContent/>
            </w:sdt>
            <w:sdt>
              <w:sdtPr>
                <w:rPr>
                  <w:rFonts w:asciiTheme="minorHAnsi" w:hAnsiTheme="minorHAnsi" w:cstheme="minorHAnsi"/>
                </w:rPr>
                <w:tag w:val="goog_rdk_1"/>
                <w:id w:val="178019882"/>
              </w:sdtPr>
              <w:sdtEndPr/>
              <w:sdtContent/>
            </w:sdt>
            <w:sdt>
              <w:sdtPr>
                <w:rPr>
                  <w:rFonts w:asciiTheme="minorHAnsi" w:hAnsiTheme="minorHAnsi" w:cstheme="minorHAnsi"/>
                </w:rPr>
                <w:tag w:val="goog_rdk_2"/>
                <w:id w:val="-1184828940"/>
              </w:sdtPr>
              <w:sdtEndPr/>
              <w:sdtContent/>
            </w:sdt>
            <w:r w:rsidRPr="002B0097">
              <w:rPr>
                <w:rFonts w:asciiTheme="minorHAnsi" w:hAnsiTheme="minorHAnsi" w:cstheme="minorHAnsi"/>
              </w:rPr>
              <w:t>This is more likely to be an issue for trials that take a long time to complete (e.g. cancer trials</w:t>
            </w:r>
            <w:r>
              <w:rPr>
                <w:rFonts w:asciiTheme="minorHAnsi" w:hAnsiTheme="minorHAnsi" w:cstheme="minorHAnsi"/>
              </w:rPr>
              <w:t xml:space="preserve"> such </w:t>
            </w:r>
            <w:r w:rsidRPr="0031013C">
              <w:rPr>
                <w:rFonts w:asciiTheme="minorHAnsi" w:hAnsiTheme="minorHAnsi" w:cstheme="minorHAnsi"/>
              </w:rPr>
              <w:t xml:space="preserve">as I-SPY (Barker </w:t>
            </w:r>
            <w:r w:rsidRPr="0031013C">
              <w:rPr>
                <w:rFonts w:asciiTheme="minorHAnsi" w:hAnsiTheme="minorHAnsi" w:cstheme="minorHAnsi"/>
                <w:i/>
                <w:iCs/>
              </w:rPr>
              <w:t>et al</w:t>
            </w:r>
            <w:r w:rsidRPr="0031013C">
              <w:rPr>
                <w:rFonts w:asciiTheme="minorHAnsi" w:hAnsiTheme="minorHAnsi" w:cstheme="minorHAnsi"/>
              </w:rPr>
              <w:t xml:space="preserve"> (2009), and STAMPEDE (Sydes</w:t>
            </w:r>
            <w:r>
              <w:rPr>
                <w:rFonts w:asciiTheme="minorHAnsi" w:hAnsiTheme="minorHAnsi" w:cstheme="minorHAnsi"/>
              </w:rPr>
              <w:t xml:space="preserve"> </w:t>
            </w:r>
            <w:r>
              <w:rPr>
                <w:rFonts w:asciiTheme="minorHAnsi" w:hAnsiTheme="minorHAnsi" w:cstheme="minorHAnsi"/>
                <w:i/>
                <w:iCs/>
              </w:rPr>
              <w:t>et al</w:t>
            </w:r>
            <w:r>
              <w:rPr>
                <w:rFonts w:asciiTheme="minorHAnsi" w:hAnsiTheme="minorHAnsi" w:cstheme="minorHAnsi"/>
              </w:rPr>
              <w:t xml:space="preserve"> (2012)</w:t>
            </w:r>
            <w:r w:rsidRPr="002B0097">
              <w:rPr>
                <w:rFonts w:asciiTheme="minorHAnsi" w:hAnsiTheme="minorHAnsi" w:cstheme="minorHAnsi"/>
              </w:rPr>
              <w:t xml:space="preserve">) or ones that are conducted in a rapidly changing environment such as a pandemic. Time trends may affect all treatments and control equally, but there may also be a different drift in different arms. This could be due perhaps to an interaction with baseline characteristics and the recruited population changing over time.  </w:t>
            </w:r>
          </w:p>
          <w:p w14:paraId="7A2C7535"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Several papers have discussed this </w:t>
            </w:r>
            <w:r w:rsidRPr="002B0097">
              <w:rPr>
                <w:rFonts w:asciiTheme="minorHAnsi" w:eastAsia="Roboto" w:hAnsiTheme="minorHAnsi" w:cstheme="minorHAnsi"/>
                <w:color w:val="3C4043"/>
                <w:highlight w:val="white"/>
              </w:rPr>
              <w:t>in the</w:t>
            </w:r>
            <w:r w:rsidRPr="002B0097">
              <w:rPr>
                <w:rFonts w:asciiTheme="minorHAnsi" w:hAnsiTheme="minorHAnsi" w:cstheme="minorHAnsi"/>
                <w:color w:val="3C4043"/>
                <w:highlight w:val="white"/>
              </w:rPr>
              <w:t xml:space="preserve"> specific </w:t>
            </w:r>
            <w:r w:rsidRPr="002B0097">
              <w:rPr>
                <w:rFonts w:asciiTheme="minorHAnsi" w:hAnsiTheme="minorHAnsi" w:cstheme="minorHAnsi"/>
                <w:highlight w:val="white"/>
              </w:rPr>
              <w:t>context of platform trials</w:t>
            </w:r>
            <w:r w:rsidRPr="002B0097">
              <w:rPr>
                <w:rFonts w:asciiTheme="minorHAnsi" w:hAnsiTheme="minorHAnsi" w:cstheme="minorHAnsi"/>
              </w:rPr>
              <w:t xml:space="preserve"> including work by Lee and Wason (2020), Bofill Roig </w:t>
            </w:r>
            <w:r w:rsidRPr="002B0097">
              <w:rPr>
                <w:rFonts w:asciiTheme="minorHAnsi" w:hAnsiTheme="minorHAnsi" w:cstheme="minorHAnsi"/>
                <w:i/>
              </w:rPr>
              <w:t>et al</w:t>
            </w:r>
            <w:r w:rsidRPr="002B0097">
              <w:rPr>
                <w:rFonts w:asciiTheme="minorHAnsi" w:hAnsiTheme="minorHAnsi" w:cstheme="minorHAnsi"/>
              </w:rPr>
              <w:t xml:space="preserve"> (2022) and Saville </w:t>
            </w:r>
            <w:r w:rsidRPr="002B0097">
              <w:rPr>
                <w:rFonts w:asciiTheme="minorHAnsi" w:hAnsiTheme="minorHAnsi" w:cstheme="minorHAnsi"/>
                <w:i/>
              </w:rPr>
              <w:t>et al</w:t>
            </w:r>
            <w:r w:rsidRPr="002B0097">
              <w:rPr>
                <w:rFonts w:asciiTheme="minorHAnsi" w:hAnsiTheme="minorHAnsi" w:cstheme="minorHAnsi"/>
              </w:rPr>
              <w:t xml:space="preserve"> (2022). The issue of time trends has also been discussed in the adaptive randomisation literature, for example Villar </w:t>
            </w:r>
            <w:r w:rsidRPr="002B0097">
              <w:rPr>
                <w:rFonts w:asciiTheme="minorHAnsi" w:hAnsiTheme="minorHAnsi" w:cstheme="minorHAnsi"/>
                <w:i/>
              </w:rPr>
              <w:t>et al</w:t>
            </w:r>
            <w:r w:rsidRPr="002B0097">
              <w:rPr>
                <w:rFonts w:asciiTheme="minorHAnsi" w:hAnsiTheme="minorHAnsi" w:cstheme="minorHAnsi"/>
              </w:rPr>
              <w:t xml:space="preserve"> (2018) who look at the implications for rare diseases. However, the different methods have not been directly compared nor is it clear which method to use in which situation.  </w:t>
            </w:r>
          </w:p>
          <w:p w14:paraId="16997C93"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Lee and Wason (2020) performed simulations to explore the benefits and disadvantages of using non-concurrently randomised controls when either a linear or a step trend was present in the data. They found that including non-concurrent controls increases power if there is no time trend and that the advantages are greater when a new treatment is added at a later time point. They also found there is a greater risk of bias in the presence of a step trend as compared to a linear trend and when the trend is non-linear that adjusting for a linear trend may lead to spurious findings. They conclude </w:t>
            </w:r>
            <w:r w:rsidRPr="002B0097">
              <w:rPr>
                <w:rFonts w:asciiTheme="minorHAnsi" w:hAnsiTheme="minorHAnsi" w:cstheme="minorHAnsi"/>
              </w:rPr>
              <w:lastRenderedPageBreak/>
              <w:t xml:space="preserve">that if strict control of the type 1 error is necessary then non-concurrent controls should not be included.  </w:t>
            </w:r>
          </w:p>
          <w:p w14:paraId="194CD2DF"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Saville</w:t>
            </w:r>
            <w:r w:rsidRPr="002B0097">
              <w:rPr>
                <w:rFonts w:asciiTheme="minorHAnsi" w:hAnsiTheme="minorHAnsi" w:cstheme="minorHAnsi"/>
                <w:i/>
              </w:rPr>
              <w:t xml:space="preserve"> et al</w:t>
            </w:r>
            <w:r w:rsidRPr="002B0097">
              <w:rPr>
                <w:rFonts w:asciiTheme="minorHAnsi" w:hAnsiTheme="minorHAnsi" w:cstheme="minorHAnsi"/>
              </w:rPr>
              <w:t xml:space="preserve"> (2022) assumes the trend follows the same pattern across all arms and models the time course of the control arm using hierarchical models to smooth the trend across time intervals. They use simulations with binary data and find that adjusting for time increases power and precision. </w:t>
            </w:r>
          </w:p>
          <w:p w14:paraId="334262B8"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Bofill Roig et al (2022) compare model-based methods for binary and continuous data for trends that are equal across arms, differ by arms, and where it is not additive on the scale of the model. They suggest that other methods, such as dynamic models that include historical data, could also be explored and conclude that whether to include non-concurrent controls should be on a </w:t>
            </w:r>
            <w:sdt>
              <w:sdtPr>
                <w:rPr>
                  <w:rFonts w:asciiTheme="minorHAnsi" w:hAnsiTheme="minorHAnsi" w:cstheme="minorHAnsi"/>
                </w:rPr>
                <w:tag w:val="goog_rdk_3"/>
                <w:id w:val="1560218594"/>
              </w:sdtPr>
              <w:sdtEndPr/>
              <w:sdtContent/>
            </w:sdt>
            <w:sdt>
              <w:sdtPr>
                <w:rPr>
                  <w:rFonts w:asciiTheme="minorHAnsi" w:hAnsiTheme="minorHAnsi" w:cstheme="minorHAnsi"/>
                </w:rPr>
                <w:tag w:val="goog_rdk_4"/>
                <w:id w:val="954594631"/>
              </w:sdtPr>
              <w:sdtEndPr/>
              <w:sdtContent/>
            </w:sdt>
            <w:r w:rsidRPr="002B0097">
              <w:rPr>
                <w:rFonts w:asciiTheme="minorHAnsi" w:hAnsiTheme="minorHAnsi" w:cstheme="minorHAnsi"/>
              </w:rPr>
              <w:t>case by case basis.</w:t>
            </w:r>
          </w:p>
          <w:p w14:paraId="14D1FF0B"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This leads to the conclusion that no one size fits all. Different methods may be appropriate in different scenarios. Is the extra effort of using hierarchical models worth it for scenarios where it can be assumed that the time trend is the same in all treatment arms, and how does this method cope with a step change? Other than the methods described here, are there any other methods that could perform better, such as those used to include historical data? Are there any instances where the methods perform so badly that only concurrent controls should be included? How </w:t>
            </w:r>
            <w:sdt>
              <w:sdtPr>
                <w:rPr>
                  <w:rFonts w:asciiTheme="minorHAnsi" w:hAnsiTheme="minorHAnsi" w:cstheme="minorHAnsi"/>
                </w:rPr>
                <w:tag w:val="goog_rdk_5"/>
                <w:id w:val="-1078440333"/>
              </w:sdtPr>
              <w:sdtEndPr/>
              <w:sdtContent/>
            </w:sdt>
            <w:sdt>
              <w:sdtPr>
                <w:rPr>
                  <w:rFonts w:asciiTheme="minorHAnsi" w:hAnsiTheme="minorHAnsi" w:cstheme="minorHAnsi"/>
                </w:rPr>
                <w:tag w:val="goog_rdk_6"/>
                <w:id w:val="-183064449"/>
              </w:sdtPr>
              <w:sdtEndPr/>
              <w:sdtContent/>
            </w:sdt>
            <w:sdt>
              <w:sdtPr>
                <w:rPr>
                  <w:rFonts w:asciiTheme="minorHAnsi" w:hAnsiTheme="minorHAnsi" w:cstheme="minorHAnsi"/>
                </w:rPr>
                <w:tag w:val="goog_rdk_7"/>
                <w:id w:val="2046633963"/>
              </w:sdtPr>
              <w:sdtEndPr/>
              <w:sdtContent/>
            </w:sdt>
            <w:r w:rsidRPr="002B0097">
              <w:rPr>
                <w:rFonts w:asciiTheme="minorHAnsi" w:hAnsiTheme="minorHAnsi" w:cstheme="minorHAnsi"/>
              </w:rPr>
              <w:t>often and how large a  trend are we likely to see in practice? What are the implications for the design of such a trial? All these are questions which are currently unanswered.</w:t>
            </w:r>
          </w:p>
          <w:p w14:paraId="57320670" w14:textId="77777777" w:rsidR="00FB7FE3" w:rsidRPr="002B0097" w:rsidRDefault="00FB7FE3" w:rsidP="00FB7FE3">
            <w:pPr>
              <w:rPr>
                <w:rFonts w:asciiTheme="minorHAnsi" w:hAnsiTheme="minorHAnsi" w:cstheme="minorHAnsi"/>
              </w:rPr>
            </w:pPr>
            <w:r w:rsidRPr="002B0097">
              <w:rPr>
                <w:rFonts w:asciiTheme="minorHAnsi" w:hAnsiTheme="minorHAnsi" w:cstheme="minorHAnsi"/>
              </w:rPr>
              <w:t xml:space="preserve">The aims of the project are </w:t>
            </w:r>
          </w:p>
          <w:p w14:paraId="352DCE6E" w14:textId="33FA6EAD" w:rsidR="00FB7FE3" w:rsidRPr="002B0097" w:rsidRDefault="00FB7FE3" w:rsidP="00FB7FE3">
            <w:pPr>
              <w:numPr>
                <w:ilvl w:val="0"/>
                <w:numId w:val="6"/>
              </w:numPr>
              <w:pBdr>
                <w:top w:val="nil"/>
                <w:left w:val="nil"/>
                <w:bottom w:val="nil"/>
                <w:right w:val="nil"/>
                <w:between w:val="nil"/>
              </w:pBdr>
              <w:rPr>
                <w:rFonts w:asciiTheme="minorHAnsi" w:hAnsiTheme="minorHAnsi" w:cstheme="minorHAnsi"/>
                <w:color w:val="000000"/>
              </w:rPr>
            </w:pPr>
            <w:r w:rsidRPr="002B0097">
              <w:rPr>
                <w:rFonts w:asciiTheme="minorHAnsi" w:hAnsiTheme="minorHAnsi" w:cstheme="minorHAnsi"/>
                <w:color w:val="000000"/>
              </w:rPr>
              <w:t xml:space="preserve">to understand how the time </w:t>
            </w:r>
            <w:r w:rsidRPr="002B0097">
              <w:rPr>
                <w:rFonts w:asciiTheme="minorHAnsi" w:hAnsiTheme="minorHAnsi" w:cstheme="minorHAnsi"/>
              </w:rPr>
              <w:t>trend</w:t>
            </w:r>
            <w:r w:rsidRPr="002B0097">
              <w:rPr>
                <w:rFonts w:asciiTheme="minorHAnsi" w:hAnsiTheme="minorHAnsi" w:cstheme="minorHAnsi"/>
                <w:color w:val="000000"/>
              </w:rPr>
              <w:t xml:space="preserve"> and non-concurrent controls have been incorporated in platform trials </w:t>
            </w:r>
          </w:p>
          <w:p w14:paraId="39552056" w14:textId="2974BB0A" w:rsidR="00FB7FE3" w:rsidRPr="002B0097" w:rsidRDefault="00FB7FE3" w:rsidP="00FB7FE3">
            <w:pPr>
              <w:numPr>
                <w:ilvl w:val="0"/>
                <w:numId w:val="6"/>
              </w:numPr>
              <w:pBdr>
                <w:top w:val="nil"/>
                <w:left w:val="nil"/>
                <w:bottom w:val="nil"/>
                <w:right w:val="nil"/>
                <w:between w:val="nil"/>
              </w:pBdr>
              <w:rPr>
                <w:rFonts w:asciiTheme="minorHAnsi" w:hAnsiTheme="minorHAnsi" w:cstheme="minorHAnsi"/>
                <w:color w:val="000000"/>
              </w:rPr>
            </w:pPr>
            <w:r w:rsidRPr="002B0097">
              <w:rPr>
                <w:rFonts w:asciiTheme="minorHAnsi" w:hAnsiTheme="minorHAnsi" w:cstheme="minorHAnsi"/>
                <w:color w:val="000000"/>
              </w:rPr>
              <w:t xml:space="preserve">to determine how different models are used to handle different types of time trends occurring in </w:t>
            </w:r>
            <w:sdt>
              <w:sdtPr>
                <w:rPr>
                  <w:rFonts w:asciiTheme="minorHAnsi" w:hAnsiTheme="minorHAnsi" w:cstheme="minorHAnsi"/>
                </w:rPr>
                <w:tag w:val="goog_rdk_8"/>
                <w:id w:val="-1186602787"/>
              </w:sdtPr>
              <w:sdtEndPr/>
              <w:sdtContent/>
            </w:sdt>
            <w:r w:rsidRPr="002B0097">
              <w:rPr>
                <w:rFonts w:asciiTheme="minorHAnsi" w:hAnsiTheme="minorHAnsi" w:cstheme="minorHAnsi"/>
              </w:rPr>
              <w:t xml:space="preserve">different types of trial design </w:t>
            </w:r>
          </w:p>
          <w:p w14:paraId="11C65CEF" w14:textId="7E384073" w:rsidR="00FB7FE3" w:rsidRPr="002B0097" w:rsidRDefault="00FA2062" w:rsidP="00FB7FE3">
            <w:pPr>
              <w:numPr>
                <w:ilvl w:val="0"/>
                <w:numId w:val="6"/>
              </w:numPr>
              <w:pBdr>
                <w:top w:val="nil"/>
                <w:left w:val="nil"/>
                <w:bottom w:val="nil"/>
                <w:right w:val="nil"/>
                <w:between w:val="nil"/>
              </w:pBdr>
              <w:rPr>
                <w:rFonts w:asciiTheme="minorHAnsi" w:hAnsiTheme="minorHAnsi" w:cstheme="minorHAnsi"/>
                <w:color w:val="000000"/>
              </w:rPr>
            </w:pPr>
            <w:sdt>
              <w:sdtPr>
                <w:rPr>
                  <w:rFonts w:asciiTheme="minorHAnsi" w:hAnsiTheme="minorHAnsi" w:cstheme="minorHAnsi"/>
                </w:rPr>
                <w:tag w:val="goog_rdk_9"/>
                <w:id w:val="1486365930"/>
              </w:sdtPr>
              <w:sdtEndPr/>
              <w:sdtContent/>
            </w:sdt>
            <w:sdt>
              <w:sdtPr>
                <w:rPr>
                  <w:rFonts w:asciiTheme="minorHAnsi" w:hAnsiTheme="minorHAnsi" w:cstheme="minorHAnsi"/>
                </w:rPr>
                <w:tag w:val="goog_rdk_10"/>
                <w:id w:val="-2053071009"/>
              </w:sdtPr>
              <w:sdtEndPr/>
              <w:sdtContent/>
            </w:sdt>
            <w:sdt>
              <w:sdtPr>
                <w:rPr>
                  <w:rFonts w:asciiTheme="minorHAnsi" w:hAnsiTheme="minorHAnsi" w:cstheme="minorHAnsi"/>
                </w:rPr>
                <w:tag w:val="goog_rdk_11"/>
                <w:id w:val="1791706004"/>
              </w:sdtPr>
              <w:sdtEndPr/>
              <w:sdtContent/>
            </w:sdt>
            <w:sdt>
              <w:sdtPr>
                <w:rPr>
                  <w:rFonts w:asciiTheme="minorHAnsi" w:hAnsiTheme="minorHAnsi" w:cstheme="minorHAnsi"/>
                </w:rPr>
                <w:tag w:val="goog_rdk_12"/>
                <w:id w:val="-614214476"/>
              </w:sdtPr>
              <w:sdtEndPr/>
              <w:sdtContent/>
            </w:sdt>
            <w:r w:rsidR="00FB7FE3" w:rsidRPr="002B0097">
              <w:rPr>
                <w:rFonts w:asciiTheme="minorHAnsi" w:hAnsiTheme="minorHAnsi" w:cstheme="minorHAnsi"/>
                <w:color w:val="000000"/>
              </w:rPr>
              <w:t>to compare the performance of these models when incorporating non-concurrent controls in the presence of time drift</w:t>
            </w:r>
            <w:r w:rsidR="00FB7FE3" w:rsidRPr="002B0097">
              <w:rPr>
                <w:rFonts w:asciiTheme="minorHAnsi" w:hAnsiTheme="minorHAnsi" w:cstheme="minorHAnsi"/>
              </w:rPr>
              <w:t xml:space="preserve"> and to explore methods that have been used to incorporate historical data </w:t>
            </w:r>
          </w:p>
          <w:p w14:paraId="648E3FCF" w14:textId="687E394A" w:rsidR="00274ACB" w:rsidRPr="00FB7FE3" w:rsidRDefault="00FB7FE3" w:rsidP="00FB7FE3">
            <w:pPr>
              <w:numPr>
                <w:ilvl w:val="0"/>
                <w:numId w:val="6"/>
              </w:numPr>
              <w:pBdr>
                <w:top w:val="nil"/>
                <w:left w:val="nil"/>
                <w:bottom w:val="nil"/>
                <w:right w:val="nil"/>
                <w:between w:val="nil"/>
              </w:pBdr>
              <w:rPr>
                <w:rFonts w:asciiTheme="minorHAnsi" w:hAnsiTheme="minorHAnsi" w:cstheme="minorHAnsi"/>
                <w:color w:val="000000"/>
              </w:rPr>
            </w:pPr>
            <w:r w:rsidRPr="002B0097">
              <w:rPr>
                <w:rFonts w:asciiTheme="minorHAnsi" w:hAnsiTheme="minorHAnsi" w:cstheme="minorHAnsi"/>
                <w:color w:val="000000"/>
              </w:rPr>
              <w:t xml:space="preserve">to develop a guidance document and open source code using the results from </w:t>
            </w:r>
            <w:r>
              <w:rPr>
                <w:rFonts w:asciiTheme="minorHAnsi" w:hAnsiTheme="minorHAnsi" w:cstheme="minorHAnsi"/>
                <w:color w:val="000000"/>
              </w:rPr>
              <w:t>objectives</w:t>
            </w:r>
            <w:r w:rsidRPr="002B0097">
              <w:rPr>
                <w:rFonts w:asciiTheme="minorHAnsi" w:hAnsiTheme="minorHAnsi" w:cstheme="minorHAnsi"/>
                <w:color w:val="000000"/>
              </w:rPr>
              <w:t xml:space="preserve"> 1, 2 and 3 above</w:t>
            </w:r>
          </w:p>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DA3EE89" w14:textId="77777777" w:rsidR="00220D1C" w:rsidRDefault="00220D1C" w:rsidP="00220D1C">
            <w:pPr>
              <w:spacing w:after="120"/>
              <w:jc w:val="both"/>
              <w:rPr>
                <w:rFonts w:asciiTheme="minorHAnsi" w:hAnsiTheme="minorHAnsi"/>
                <w:b w:val="0"/>
                <w:bCs w:val="0"/>
                <w:color w:val="FF0000"/>
                <w:szCs w:val="24"/>
              </w:rPr>
            </w:pP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09A18" w14:textId="77777777" w:rsidR="004D1E2C" w:rsidRDefault="004D1E2C" w:rsidP="008A5DEB">
      <w:pPr>
        <w:spacing w:after="0" w:line="240" w:lineRule="auto"/>
      </w:pPr>
      <w:r>
        <w:separator/>
      </w:r>
    </w:p>
  </w:endnote>
  <w:endnote w:type="continuationSeparator" w:id="0">
    <w:p w14:paraId="48C0D1DE" w14:textId="77777777" w:rsidR="004D1E2C" w:rsidRDefault="004D1E2C"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6470F" w14:textId="77777777" w:rsidR="004D1E2C" w:rsidRDefault="004D1E2C" w:rsidP="008A5DEB">
      <w:pPr>
        <w:spacing w:after="0" w:line="240" w:lineRule="auto"/>
      </w:pPr>
      <w:r>
        <w:separator/>
      </w:r>
    </w:p>
  </w:footnote>
  <w:footnote w:type="continuationSeparator" w:id="0">
    <w:p w14:paraId="1717BF9B" w14:textId="77777777" w:rsidR="004D1E2C" w:rsidRDefault="004D1E2C"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647A26"/>
    <w:multiLevelType w:val="multilevel"/>
    <w:tmpl w:val="CFA44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81444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D693B"/>
    <w:rsid w:val="001E0940"/>
    <w:rsid w:val="00220D1C"/>
    <w:rsid w:val="002304B1"/>
    <w:rsid w:val="00244693"/>
    <w:rsid w:val="00274ACB"/>
    <w:rsid w:val="002A1B47"/>
    <w:rsid w:val="002B0282"/>
    <w:rsid w:val="002E517D"/>
    <w:rsid w:val="002F31FE"/>
    <w:rsid w:val="00323521"/>
    <w:rsid w:val="00336555"/>
    <w:rsid w:val="00362B4E"/>
    <w:rsid w:val="0047180B"/>
    <w:rsid w:val="0047474B"/>
    <w:rsid w:val="004B522E"/>
    <w:rsid w:val="004B6725"/>
    <w:rsid w:val="004C1191"/>
    <w:rsid w:val="004D1E2C"/>
    <w:rsid w:val="004E3BC1"/>
    <w:rsid w:val="005053DF"/>
    <w:rsid w:val="00511A7B"/>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81B4F"/>
    <w:rsid w:val="009A59ED"/>
    <w:rsid w:val="009A63D4"/>
    <w:rsid w:val="009C4BA9"/>
    <w:rsid w:val="009D734F"/>
    <w:rsid w:val="009F24DA"/>
    <w:rsid w:val="009F78EF"/>
    <w:rsid w:val="00A06F63"/>
    <w:rsid w:val="00A16F3D"/>
    <w:rsid w:val="00A23D70"/>
    <w:rsid w:val="00A87625"/>
    <w:rsid w:val="00AA2D17"/>
    <w:rsid w:val="00AC5D34"/>
    <w:rsid w:val="00AC69F6"/>
    <w:rsid w:val="00B22CB1"/>
    <w:rsid w:val="00B307D0"/>
    <w:rsid w:val="00B32C43"/>
    <w:rsid w:val="00B6610D"/>
    <w:rsid w:val="00BE4A79"/>
    <w:rsid w:val="00C07FA2"/>
    <w:rsid w:val="00C20B6D"/>
    <w:rsid w:val="00C258FF"/>
    <w:rsid w:val="00C27AF5"/>
    <w:rsid w:val="00C30379"/>
    <w:rsid w:val="00C5012C"/>
    <w:rsid w:val="00C61C47"/>
    <w:rsid w:val="00C6532A"/>
    <w:rsid w:val="00C971CE"/>
    <w:rsid w:val="00CD249B"/>
    <w:rsid w:val="00D60AB7"/>
    <w:rsid w:val="00D863E1"/>
    <w:rsid w:val="00DB448A"/>
    <w:rsid w:val="00DB5AB9"/>
    <w:rsid w:val="00DC295E"/>
    <w:rsid w:val="00DC30E2"/>
    <w:rsid w:val="00DD21ED"/>
    <w:rsid w:val="00DD4BC9"/>
    <w:rsid w:val="00DE64A4"/>
    <w:rsid w:val="00E0356E"/>
    <w:rsid w:val="00E10084"/>
    <w:rsid w:val="00E72B42"/>
    <w:rsid w:val="00EA7C68"/>
    <w:rsid w:val="00EC6D60"/>
    <w:rsid w:val="00ED3CFA"/>
    <w:rsid w:val="00EE4F53"/>
    <w:rsid w:val="00EE7184"/>
    <w:rsid w:val="00EF0212"/>
    <w:rsid w:val="00F36BC7"/>
    <w:rsid w:val="00FA2062"/>
    <w:rsid w:val="00FA7566"/>
    <w:rsid w:val="00FB7FE3"/>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4B522E"/>
    <w:rsid w:val="005E6D53"/>
    <w:rsid w:val="005F1D88"/>
    <w:rsid w:val="00607F77"/>
    <w:rsid w:val="009213BD"/>
    <w:rsid w:val="00981B4F"/>
    <w:rsid w:val="009B098C"/>
    <w:rsid w:val="00BD76FA"/>
    <w:rsid w:val="00C30379"/>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16AE-F0F7-424F-83A8-514E076A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Jess Nye</cp:lastModifiedBy>
  <cp:revision>4</cp:revision>
  <cp:lastPrinted>2022-01-11T06:49:00Z</cp:lastPrinted>
  <dcterms:created xsi:type="dcterms:W3CDTF">2024-07-30T13:02:00Z</dcterms:created>
  <dcterms:modified xsi:type="dcterms:W3CDTF">2024-08-14T13:18:00Z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