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84FE" w14:textId="77777777" w:rsidR="003F5934" w:rsidRDefault="000339B4" w:rsidP="009D47E8">
      <w:pPr>
        <w:rPr>
          <w:rFonts w:cs="Calibri"/>
          <w:b/>
          <w:bCs/>
        </w:rPr>
      </w:pPr>
      <w:r w:rsidRPr="00111D1D">
        <w:rPr>
          <w:noProof/>
        </w:rPr>
        <w:drawing>
          <wp:anchor distT="0" distB="0" distL="114300" distR="114300" simplePos="0" relativeHeight="251658240" behindDoc="1" locked="0" layoutInCell="1" allowOverlap="1" wp14:anchorId="3518A69B" wp14:editId="1468CE10">
            <wp:simplePos x="0" y="0"/>
            <wp:positionH relativeFrom="margin">
              <wp:posOffset>-133350</wp:posOffset>
            </wp:positionH>
            <wp:positionV relativeFrom="paragraph">
              <wp:posOffset>-704850</wp:posOffset>
            </wp:positionV>
            <wp:extent cx="3190875" cy="759226"/>
            <wp:effectExtent l="0" t="0" r="0" b="3175"/>
            <wp:wrapNone/>
            <wp:docPr id="997462802" name="Picture 1" descr="A close-up of a logo&#10;&#10;Description automatically generated">
              <a:extLst xmlns:a="http://schemas.openxmlformats.org/drawingml/2006/main">
                <a:ext uri="{FF2B5EF4-FFF2-40B4-BE49-F238E27FC236}">
                  <a16:creationId xmlns:a16="http://schemas.microsoft.com/office/drawing/2014/main" id="{C28500FA-D685-4F9E-A380-04278C5E2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62802" name="Picture 1"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875" cy="7592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37FB3" w14:textId="2A45751C" w:rsidR="009D47E8" w:rsidRPr="00111D1D" w:rsidRDefault="009D47E8" w:rsidP="009D47E8">
      <w:pPr>
        <w:rPr>
          <w:rFonts w:cs="Calibri"/>
          <w:b/>
          <w:bCs/>
        </w:rPr>
      </w:pPr>
      <w:r w:rsidRPr="00111D1D">
        <w:rPr>
          <w:rFonts w:cs="Calibri"/>
          <w:b/>
          <w:bCs/>
        </w:rPr>
        <w:t>Post-Doctoral Fellowship Guidance for Applicants</w:t>
      </w:r>
    </w:p>
    <w:p w14:paraId="0E96B665" w14:textId="77777777" w:rsidR="009D47E8" w:rsidRPr="00111D1D" w:rsidRDefault="009D47E8" w:rsidP="009D47E8">
      <w:pPr>
        <w:rPr>
          <w:rFonts w:cs="Calibri"/>
        </w:rPr>
      </w:pPr>
      <w:r w:rsidRPr="00111D1D">
        <w:rPr>
          <w:rFonts w:cs="Calibri"/>
        </w:rPr>
        <w:t>The NIHR School for Primary Care Research (SPCR) Post-Doctoral Fellowships support early-career researchers to develop as independent primary care scientists and future research leaders. These awards provide time, training, and support to develop an independent research trajectory, publish high-quality outputs, and prepare applications for future funding (for example, an NIHR Advanced Fellowship).</w:t>
      </w:r>
    </w:p>
    <w:p w14:paraId="600DEBE7" w14:textId="23289B60" w:rsidR="00FC190D" w:rsidRPr="00111D1D" w:rsidRDefault="009D47E8" w:rsidP="009D47E8">
      <w:pPr>
        <w:rPr>
          <w:rFonts w:cs="Calibri"/>
        </w:rPr>
      </w:pPr>
      <w:r w:rsidRPr="00111D1D">
        <w:rPr>
          <w:rFonts w:cs="Calibri"/>
        </w:rPr>
        <w:t xml:space="preserve">Fellowships are expected to begin in </w:t>
      </w:r>
      <w:r w:rsidRPr="00111D1D">
        <w:rPr>
          <w:rFonts w:cs="Calibri"/>
          <w:b/>
          <w:bCs/>
        </w:rPr>
        <w:t>October 2026</w:t>
      </w:r>
      <w:r w:rsidRPr="00111D1D">
        <w:rPr>
          <w:rFonts w:cs="Calibri"/>
        </w:rPr>
        <w:t>.</w:t>
      </w:r>
      <w:r w:rsidR="0034192B" w:rsidRPr="00111D1D">
        <w:rPr>
          <w:rFonts w:cs="Calibri"/>
        </w:rPr>
        <w:t xml:space="preserve"> The SPCR has a contract end date of 31/03/2029 and all awards must end by </w:t>
      </w:r>
      <w:r w:rsidR="0034192B" w:rsidRPr="00111D1D">
        <w:rPr>
          <w:rFonts w:cs="Calibri"/>
          <w:b/>
          <w:bCs/>
        </w:rPr>
        <w:t>3</w:t>
      </w:r>
      <w:r w:rsidR="00DF554D">
        <w:rPr>
          <w:rFonts w:cs="Calibri"/>
          <w:b/>
          <w:bCs/>
        </w:rPr>
        <w:t>0</w:t>
      </w:r>
      <w:r w:rsidR="0034192B" w:rsidRPr="00111D1D">
        <w:rPr>
          <w:rFonts w:cs="Calibri"/>
          <w:b/>
          <w:bCs/>
        </w:rPr>
        <w:t>/</w:t>
      </w:r>
      <w:r w:rsidR="00BB6231">
        <w:rPr>
          <w:rFonts w:cs="Calibri"/>
          <w:b/>
          <w:bCs/>
        </w:rPr>
        <w:t>09</w:t>
      </w:r>
      <w:r w:rsidR="0034192B" w:rsidRPr="00111D1D">
        <w:rPr>
          <w:rFonts w:cs="Calibri"/>
          <w:b/>
          <w:bCs/>
        </w:rPr>
        <w:t xml:space="preserve">/2028 </w:t>
      </w:r>
      <w:r w:rsidR="0034192B" w:rsidRPr="00111D1D">
        <w:rPr>
          <w:rFonts w:cs="Calibri"/>
        </w:rPr>
        <w:t>to allow for final reporting.</w:t>
      </w:r>
      <w:r w:rsidR="00612E9D">
        <w:rPr>
          <w:rFonts w:cs="Calibri"/>
        </w:rPr>
        <w:t xml:space="preserve"> </w:t>
      </w:r>
      <w:r w:rsidR="00612E9D" w:rsidRPr="00612E9D">
        <w:rPr>
          <w:rFonts w:cs="Calibri"/>
        </w:rPr>
        <w:t>Exceptions will only be made for award holders who take a period of leave. Eg sickness or parental leave. In these circumstances, contracts may be transferred to the NIHR for the remainder of the award.</w:t>
      </w:r>
    </w:p>
    <w:p w14:paraId="4C2435FF" w14:textId="5FC5B21E" w:rsidR="009D47E8" w:rsidRPr="00111D1D" w:rsidRDefault="009D47E8" w:rsidP="009D47E8">
      <w:pPr>
        <w:rPr>
          <w:rFonts w:cs="Calibri"/>
          <w:b/>
          <w:bCs/>
        </w:rPr>
      </w:pPr>
      <w:r w:rsidRPr="00111D1D">
        <w:rPr>
          <w:rFonts w:cs="Calibri"/>
          <w:b/>
          <w:bCs/>
        </w:rPr>
        <w:t>Eligibility</w:t>
      </w:r>
    </w:p>
    <w:p w14:paraId="24384B7C" w14:textId="77777777" w:rsidR="009D47E8" w:rsidRPr="00111D1D" w:rsidRDefault="009D47E8" w:rsidP="009D47E8">
      <w:pPr>
        <w:rPr>
          <w:rFonts w:cs="Calibri"/>
        </w:rPr>
      </w:pPr>
      <w:r w:rsidRPr="00111D1D">
        <w:rPr>
          <w:rFonts w:cs="Calibri"/>
        </w:rPr>
        <w:t>Applicants must:</w:t>
      </w:r>
    </w:p>
    <w:p w14:paraId="1EB49157" w14:textId="77777777" w:rsidR="009D47E8" w:rsidRPr="00111D1D" w:rsidRDefault="009D47E8" w:rsidP="009D47E8">
      <w:pPr>
        <w:numPr>
          <w:ilvl w:val="0"/>
          <w:numId w:val="19"/>
        </w:numPr>
        <w:rPr>
          <w:rFonts w:cs="Calibri"/>
        </w:rPr>
      </w:pPr>
      <w:r w:rsidRPr="00111D1D">
        <w:rPr>
          <w:rFonts w:cs="Calibri"/>
        </w:rPr>
        <w:t xml:space="preserve">Have experience of research in </w:t>
      </w:r>
      <w:r w:rsidRPr="00111D1D">
        <w:rPr>
          <w:rFonts w:cs="Calibri"/>
          <w:b/>
          <w:bCs/>
        </w:rPr>
        <w:t>primary care</w:t>
      </w:r>
      <w:r w:rsidRPr="00111D1D">
        <w:rPr>
          <w:rFonts w:cs="Calibri"/>
        </w:rPr>
        <w:t xml:space="preserve"> or a closely related applied health field.</w:t>
      </w:r>
    </w:p>
    <w:p w14:paraId="1038806A" w14:textId="77777777" w:rsidR="009D47E8" w:rsidRPr="00111D1D" w:rsidRDefault="009D47E8" w:rsidP="009D47E8">
      <w:pPr>
        <w:numPr>
          <w:ilvl w:val="0"/>
          <w:numId w:val="19"/>
        </w:numPr>
        <w:rPr>
          <w:rFonts w:cs="Calibri"/>
        </w:rPr>
      </w:pPr>
      <w:r w:rsidRPr="00111D1D">
        <w:rPr>
          <w:rFonts w:cs="Calibri"/>
        </w:rPr>
        <w:t>Hold a PhD or equivalent doctoral qualification.</w:t>
      </w:r>
      <w:r w:rsidRPr="00111D1D">
        <w:rPr>
          <w:rFonts w:cs="Calibri"/>
        </w:rPr>
        <w:br/>
        <w:t>Typically, applicants will have been awarded their doctorate within the last three years, but we welcome applications from:</w:t>
      </w:r>
    </w:p>
    <w:p w14:paraId="62A312C3" w14:textId="1405D556" w:rsidR="009D47E8" w:rsidRPr="00111D1D" w:rsidRDefault="009D47E8" w:rsidP="009D47E8">
      <w:pPr>
        <w:numPr>
          <w:ilvl w:val="1"/>
          <w:numId w:val="19"/>
        </w:numPr>
        <w:rPr>
          <w:rFonts w:cs="Calibri"/>
        </w:rPr>
      </w:pPr>
      <w:r w:rsidRPr="00111D1D">
        <w:rPr>
          <w:rFonts w:cs="Calibri"/>
        </w:rPr>
        <w:t>researchers returning after a career break</w:t>
      </w:r>
    </w:p>
    <w:p w14:paraId="25139BC8" w14:textId="77777777" w:rsidR="009D47E8" w:rsidRPr="00111D1D" w:rsidRDefault="009D47E8" w:rsidP="009D47E8">
      <w:pPr>
        <w:numPr>
          <w:ilvl w:val="1"/>
          <w:numId w:val="19"/>
        </w:numPr>
        <w:rPr>
          <w:rFonts w:cs="Calibri"/>
        </w:rPr>
      </w:pPr>
      <w:r w:rsidRPr="00111D1D">
        <w:rPr>
          <w:rFonts w:cs="Calibri"/>
        </w:rPr>
        <w:t>individuals transitioning from another discipline into applied health research.</w:t>
      </w:r>
    </w:p>
    <w:p w14:paraId="7C4C126E" w14:textId="77777777" w:rsidR="009D47E8" w:rsidRPr="00111D1D" w:rsidRDefault="009D47E8" w:rsidP="009D47E8">
      <w:pPr>
        <w:numPr>
          <w:ilvl w:val="0"/>
          <w:numId w:val="19"/>
        </w:numPr>
        <w:rPr>
          <w:rFonts w:cs="Calibri"/>
        </w:rPr>
      </w:pPr>
      <w:r w:rsidRPr="00111D1D">
        <w:rPr>
          <w:rFonts w:cs="Calibri"/>
        </w:rPr>
        <w:t>Demonstrate a strong academic track record with potential for research independence.</w:t>
      </w:r>
    </w:p>
    <w:p w14:paraId="61FE3D2A" w14:textId="4699B8A8" w:rsidR="5ED84CBE" w:rsidRDefault="5ED84CBE" w:rsidP="3D52E7E6">
      <w:pPr>
        <w:ind w:left="360"/>
        <w:rPr>
          <w:rFonts w:cs="Calibri"/>
        </w:rPr>
      </w:pPr>
      <w:r w:rsidRPr="24FF1398">
        <w:rPr>
          <w:rFonts w:cs="Calibri"/>
        </w:rPr>
        <w:t>Applicants do not need to be employed by an SPCR member to apply. However, all nine fellowships will be hosted within SPCR member departments, with one fellowship awarded per member.</w:t>
      </w:r>
    </w:p>
    <w:p w14:paraId="1F9213D9" w14:textId="2927353A" w:rsidR="3D52E7E6" w:rsidRDefault="5ED84CBE" w:rsidP="561F5E5E">
      <w:pPr>
        <w:ind w:left="360"/>
      </w:pPr>
      <w:r w:rsidRPr="3D52E7E6">
        <w:rPr>
          <w:rFonts w:cs="Calibri"/>
          <w:i/>
          <w:iCs/>
        </w:rPr>
        <w:t>Every applicant</w:t>
      </w:r>
      <w:r w:rsidRPr="6D751978">
        <w:rPr>
          <w:rFonts w:cs="Calibri"/>
          <w:i/>
          <w:iCs/>
        </w:rPr>
        <w:t xml:space="preserve">, </w:t>
      </w:r>
      <w:r w:rsidRPr="3D52E7E6">
        <w:rPr>
          <w:rFonts w:cs="Calibri"/>
          <w:i/>
          <w:iCs/>
        </w:rPr>
        <w:t>whether currently based in a member department or not</w:t>
      </w:r>
      <w:r w:rsidRPr="512F4D0C">
        <w:rPr>
          <w:rFonts w:cs="Calibri"/>
          <w:i/>
          <w:iCs/>
        </w:rPr>
        <w:t xml:space="preserve">, </w:t>
      </w:r>
      <w:r w:rsidRPr="3D52E7E6">
        <w:rPr>
          <w:rFonts w:cs="Calibri"/>
          <w:i/>
          <w:iCs/>
        </w:rPr>
        <w:t xml:space="preserve">must notify the relevant department’s </w:t>
      </w:r>
      <w:hyperlink r:id="rId9" w:anchor="bristol">
        <w:r w:rsidRPr="41ECDBFF">
          <w:rPr>
            <w:rStyle w:val="Hyperlink"/>
            <w:rFonts w:cs="Calibri"/>
            <w:i/>
            <w:iCs/>
          </w:rPr>
          <w:t>research manager or training lead</w:t>
        </w:r>
      </w:hyperlink>
      <w:r w:rsidRPr="3D52E7E6">
        <w:rPr>
          <w:rFonts w:cs="Calibri"/>
          <w:i/>
          <w:iCs/>
        </w:rPr>
        <w:t xml:space="preserve"> of their intention to apply.</w:t>
      </w:r>
      <w:r w:rsidRPr="6D52F817">
        <w:rPr>
          <w:rFonts w:cs="Calibri"/>
          <w:i/>
          <w:iCs/>
        </w:rPr>
        <w:t xml:space="preserve"> </w:t>
      </w:r>
      <w:r w:rsidRPr="7A40C848">
        <w:rPr>
          <w:rFonts w:cs="Calibri"/>
        </w:rPr>
        <w:t xml:space="preserve">This </w:t>
      </w:r>
      <w:r w:rsidRPr="358E063D">
        <w:rPr>
          <w:rFonts w:cs="Calibri"/>
        </w:rPr>
        <w:t xml:space="preserve">is </w:t>
      </w:r>
      <w:r w:rsidRPr="7B5C2C01">
        <w:rPr>
          <w:rFonts w:cs="Calibri"/>
        </w:rPr>
        <w:t>vital</w:t>
      </w:r>
      <w:r w:rsidRPr="448E910E">
        <w:rPr>
          <w:rFonts w:cs="Calibri"/>
        </w:rPr>
        <w:t xml:space="preserve"> to </w:t>
      </w:r>
      <w:r w:rsidRPr="235EB06C">
        <w:rPr>
          <w:rFonts w:cs="Calibri"/>
        </w:rPr>
        <w:t xml:space="preserve">ensure </w:t>
      </w:r>
      <w:r w:rsidRPr="46E33738">
        <w:rPr>
          <w:rFonts w:cs="Calibri"/>
        </w:rPr>
        <w:t xml:space="preserve">that </w:t>
      </w:r>
      <w:r w:rsidRPr="1D8E2811">
        <w:rPr>
          <w:rFonts w:cs="Calibri"/>
        </w:rPr>
        <w:t xml:space="preserve">local </w:t>
      </w:r>
      <w:r w:rsidRPr="09344288">
        <w:rPr>
          <w:rFonts w:cs="Calibri"/>
        </w:rPr>
        <w:t xml:space="preserve">HR and </w:t>
      </w:r>
      <w:r w:rsidRPr="59EE6737">
        <w:rPr>
          <w:rFonts w:cs="Calibri"/>
        </w:rPr>
        <w:t xml:space="preserve">costing </w:t>
      </w:r>
      <w:r w:rsidRPr="27627034">
        <w:rPr>
          <w:rFonts w:cs="Calibri"/>
        </w:rPr>
        <w:t>procedures</w:t>
      </w:r>
      <w:r w:rsidRPr="2E6A1C4A">
        <w:rPr>
          <w:rFonts w:cs="Calibri"/>
        </w:rPr>
        <w:t xml:space="preserve"> are </w:t>
      </w:r>
      <w:r w:rsidRPr="23AEFAF4">
        <w:rPr>
          <w:rFonts w:cs="Calibri"/>
        </w:rPr>
        <w:t>followed.</w:t>
      </w:r>
    </w:p>
    <w:p w14:paraId="40D29E18" w14:textId="0C2D2F1A" w:rsidR="00F2511A" w:rsidRPr="00111D1D" w:rsidRDefault="00BB6DD0" w:rsidP="001B65FC">
      <w:pPr>
        <w:ind w:left="360"/>
        <w:rPr>
          <w:rFonts w:cs="Calibri"/>
          <w:b/>
          <w:bCs/>
        </w:rPr>
      </w:pPr>
      <w:r w:rsidRPr="4AB0B30A">
        <w:rPr>
          <w:rFonts w:cs="Calibri"/>
          <w:b/>
          <w:bCs/>
        </w:rPr>
        <w:t xml:space="preserve">Please </w:t>
      </w:r>
      <w:r w:rsidR="00BB3C5B" w:rsidRPr="4AB0B30A">
        <w:rPr>
          <w:rFonts w:cs="Calibri"/>
          <w:b/>
          <w:bCs/>
        </w:rPr>
        <w:t>note</w:t>
      </w:r>
      <w:r w:rsidR="008C458D" w:rsidRPr="4AB0B30A">
        <w:rPr>
          <w:rFonts w:cs="Calibri"/>
          <w:b/>
          <w:bCs/>
        </w:rPr>
        <w:t xml:space="preserve"> th</w:t>
      </w:r>
      <w:r w:rsidR="00451410" w:rsidRPr="4AB0B30A">
        <w:rPr>
          <w:rFonts w:cs="Calibri"/>
          <w:b/>
          <w:bCs/>
        </w:rPr>
        <w:t>ese aw</w:t>
      </w:r>
      <w:r w:rsidR="00AD0AA7" w:rsidRPr="4AB0B30A">
        <w:rPr>
          <w:rFonts w:cs="Calibri"/>
          <w:b/>
          <w:bCs/>
        </w:rPr>
        <w:t>ard</w:t>
      </w:r>
      <w:r w:rsidR="002D2A60" w:rsidRPr="4AB0B30A">
        <w:rPr>
          <w:rFonts w:cs="Calibri"/>
          <w:b/>
          <w:bCs/>
        </w:rPr>
        <w:t>s a</w:t>
      </w:r>
      <w:r w:rsidR="005E7A63" w:rsidRPr="4AB0B30A">
        <w:rPr>
          <w:rFonts w:cs="Calibri"/>
          <w:b/>
          <w:bCs/>
        </w:rPr>
        <w:t xml:space="preserve">re </w:t>
      </w:r>
      <w:r w:rsidR="00A85587" w:rsidRPr="4AB0B30A">
        <w:rPr>
          <w:rFonts w:cs="Calibri"/>
          <w:b/>
          <w:bCs/>
        </w:rPr>
        <w:t>not intende</w:t>
      </w:r>
      <w:r w:rsidR="006F1CB5" w:rsidRPr="4AB0B30A">
        <w:rPr>
          <w:rFonts w:cs="Calibri"/>
          <w:b/>
          <w:bCs/>
        </w:rPr>
        <w:t>d to co</w:t>
      </w:r>
      <w:r w:rsidR="00252227" w:rsidRPr="4AB0B30A">
        <w:rPr>
          <w:rFonts w:cs="Calibri"/>
          <w:b/>
          <w:bCs/>
        </w:rPr>
        <w:t>ver a cl</w:t>
      </w:r>
      <w:r w:rsidR="00B6317E" w:rsidRPr="4AB0B30A">
        <w:rPr>
          <w:rFonts w:cs="Calibri"/>
          <w:b/>
          <w:bCs/>
        </w:rPr>
        <w:t>inica</w:t>
      </w:r>
      <w:r w:rsidR="00E600B1" w:rsidRPr="4AB0B30A">
        <w:rPr>
          <w:rFonts w:cs="Calibri"/>
          <w:b/>
          <w:bCs/>
        </w:rPr>
        <w:t>l salary</w:t>
      </w:r>
      <w:r w:rsidR="00F8760B" w:rsidRPr="4AB0B30A">
        <w:rPr>
          <w:rFonts w:cs="Calibri"/>
          <w:b/>
          <w:bCs/>
        </w:rPr>
        <w:t>.</w:t>
      </w:r>
    </w:p>
    <w:p w14:paraId="4D53111A" w14:textId="07584FF5" w:rsidR="009D47E8" w:rsidRPr="00111D1D" w:rsidRDefault="009D47E8" w:rsidP="009D47E8">
      <w:pPr>
        <w:rPr>
          <w:rFonts w:cs="Calibri"/>
          <w:b/>
          <w:bCs/>
        </w:rPr>
      </w:pPr>
      <w:r w:rsidRPr="00111D1D">
        <w:rPr>
          <w:rFonts w:cs="Calibri"/>
          <w:b/>
          <w:bCs/>
        </w:rPr>
        <w:t>Fellowship Structure</w:t>
      </w:r>
    </w:p>
    <w:p w14:paraId="06C40397" w14:textId="132A16B5" w:rsidR="009D47E8" w:rsidRPr="00111D1D" w:rsidRDefault="009D47E8" w:rsidP="009D47E8">
      <w:pPr>
        <w:numPr>
          <w:ilvl w:val="0"/>
          <w:numId w:val="2"/>
        </w:numPr>
        <w:rPr>
          <w:rFonts w:cs="Calibri"/>
        </w:rPr>
      </w:pPr>
      <w:r w:rsidRPr="00111D1D">
        <w:rPr>
          <w:rFonts w:cs="Calibri"/>
        </w:rPr>
        <w:t xml:space="preserve">Fellowships are </w:t>
      </w:r>
      <w:r w:rsidR="0034192B" w:rsidRPr="00111D1D">
        <w:rPr>
          <w:rFonts w:cs="Calibri"/>
        </w:rPr>
        <w:t xml:space="preserve">for 24 months and must be undertaken at a minimum </w:t>
      </w:r>
      <w:r w:rsidRPr="00111D1D">
        <w:rPr>
          <w:rFonts w:cs="Calibri"/>
        </w:rPr>
        <w:t>60%</w:t>
      </w:r>
      <w:r w:rsidR="0034192B" w:rsidRPr="00111D1D">
        <w:rPr>
          <w:rFonts w:cs="Calibri"/>
        </w:rPr>
        <w:t xml:space="preserve"> FTE</w:t>
      </w:r>
      <w:r w:rsidRPr="00111D1D">
        <w:rPr>
          <w:rFonts w:cs="Calibri"/>
        </w:rPr>
        <w:t xml:space="preserve"> </w:t>
      </w:r>
    </w:p>
    <w:p w14:paraId="28CA75F9" w14:textId="77777777" w:rsidR="009D47E8" w:rsidRPr="00111D1D" w:rsidRDefault="009D47E8" w:rsidP="009D47E8">
      <w:pPr>
        <w:numPr>
          <w:ilvl w:val="0"/>
          <w:numId w:val="2"/>
        </w:numPr>
        <w:rPr>
          <w:rFonts w:cs="Calibri"/>
        </w:rPr>
      </w:pPr>
      <w:r w:rsidRPr="00111D1D">
        <w:rPr>
          <w:rFonts w:cs="Calibri"/>
        </w:rPr>
        <w:lastRenderedPageBreak/>
        <w:t>Successful fellows will be hosted by one of the nine SPCR member departments (Bristol, Exeter, Keele, Manchester, Nottingham, Oxford, Queen Mary University of London, Southampton, University College London).</w:t>
      </w:r>
    </w:p>
    <w:p w14:paraId="367A5016" w14:textId="2FC80F37" w:rsidR="009D47E8" w:rsidRPr="00111D1D" w:rsidRDefault="009D47E8" w:rsidP="009D47E8">
      <w:pPr>
        <w:numPr>
          <w:ilvl w:val="0"/>
          <w:numId w:val="2"/>
        </w:numPr>
        <w:rPr>
          <w:rFonts w:cs="Calibri"/>
        </w:rPr>
      </w:pPr>
      <w:r w:rsidRPr="00111D1D">
        <w:rPr>
          <w:rFonts w:cs="Calibri"/>
        </w:rPr>
        <w:t xml:space="preserve">All fellows will join the </w:t>
      </w:r>
      <w:r w:rsidRPr="00111D1D">
        <w:rPr>
          <w:rFonts w:cs="Calibri"/>
          <w:b/>
          <w:bCs/>
        </w:rPr>
        <w:t>SPCR Trainees Network</w:t>
      </w:r>
      <w:r w:rsidRPr="00111D1D">
        <w:rPr>
          <w:rFonts w:cs="Calibri"/>
        </w:rPr>
        <w:t>, gaining access to training, mentoring, and networking opportunities.</w:t>
      </w:r>
      <w:r w:rsidR="0034192B" w:rsidRPr="00111D1D">
        <w:rPr>
          <w:rFonts w:cs="Calibri"/>
        </w:rPr>
        <w:t xml:space="preserve"> Fellows will be a member of the NIHR Academy.</w:t>
      </w:r>
    </w:p>
    <w:p w14:paraId="0D5F3922" w14:textId="74762326" w:rsidR="009D47E8" w:rsidRPr="00111D1D" w:rsidRDefault="009D47E8" w:rsidP="009D47E8">
      <w:pPr>
        <w:rPr>
          <w:rFonts w:cs="Calibri"/>
          <w:b/>
          <w:bCs/>
        </w:rPr>
      </w:pPr>
      <w:r w:rsidRPr="00111D1D">
        <w:rPr>
          <w:rFonts w:cs="Calibri"/>
          <w:b/>
          <w:bCs/>
        </w:rPr>
        <w:t>Funding Available</w:t>
      </w:r>
    </w:p>
    <w:p w14:paraId="191F785D" w14:textId="17ACD248" w:rsidR="009D47E8" w:rsidRPr="00111D1D" w:rsidRDefault="009D47E8" w:rsidP="009D47E8">
      <w:pPr>
        <w:rPr>
          <w:rFonts w:cs="Calibri"/>
        </w:rPr>
      </w:pPr>
      <w:r w:rsidRPr="00111D1D">
        <w:rPr>
          <w:rFonts w:cs="Calibri"/>
        </w:rPr>
        <w:t xml:space="preserve">The award </w:t>
      </w:r>
      <w:r w:rsidR="0034192B" w:rsidRPr="00111D1D">
        <w:rPr>
          <w:rFonts w:cs="Calibri"/>
        </w:rPr>
        <w:t>covers:</w:t>
      </w:r>
    </w:p>
    <w:p w14:paraId="66C479AE" w14:textId="0F6096E1" w:rsidR="009D47E8" w:rsidRPr="00111D1D" w:rsidRDefault="00B57367" w:rsidP="00B57367">
      <w:pPr>
        <w:numPr>
          <w:ilvl w:val="0"/>
          <w:numId w:val="3"/>
        </w:numPr>
        <w:rPr>
          <w:rFonts w:cs="Calibri"/>
        </w:rPr>
      </w:pPr>
      <w:r w:rsidRPr="00111D1D">
        <w:rPr>
          <w:rFonts w:cs="Calibri"/>
        </w:rPr>
        <w:t>S</w:t>
      </w:r>
      <w:r w:rsidR="009D47E8" w:rsidRPr="00111D1D">
        <w:rPr>
          <w:rFonts w:cs="Calibri"/>
        </w:rPr>
        <w:t xml:space="preserve">alary </w:t>
      </w:r>
      <w:r w:rsidRPr="00111D1D">
        <w:rPr>
          <w:rFonts w:cs="Calibri"/>
        </w:rPr>
        <w:t xml:space="preserve">and </w:t>
      </w:r>
      <w:r w:rsidR="009D47E8" w:rsidRPr="00111D1D">
        <w:rPr>
          <w:rFonts w:cs="Calibri"/>
        </w:rPr>
        <w:t>employer on-costs (NI and pension</w:t>
      </w:r>
      <w:r w:rsidR="004003EA" w:rsidRPr="00111D1D">
        <w:rPr>
          <w:rFonts w:cs="Calibri"/>
        </w:rPr>
        <w:t xml:space="preserve">). These awards are not designed to cover a clinical salary and are </w:t>
      </w:r>
      <w:r w:rsidR="00870F3E" w:rsidRPr="00111D1D">
        <w:rPr>
          <w:rFonts w:cs="Calibri"/>
        </w:rPr>
        <w:t xml:space="preserve">capped at </w:t>
      </w:r>
      <w:r w:rsidR="388DEEC3" w:rsidRPr="00111D1D">
        <w:rPr>
          <w:rFonts w:cs="Calibri"/>
        </w:rPr>
        <w:t>the HERA</w:t>
      </w:r>
      <w:r w:rsidR="00870F3E" w:rsidRPr="00111D1D">
        <w:rPr>
          <w:rFonts w:cs="Calibri"/>
        </w:rPr>
        <w:t xml:space="preserve"> </w:t>
      </w:r>
      <w:r w:rsidR="388DEEC3" w:rsidRPr="00111D1D">
        <w:rPr>
          <w:rFonts w:cs="Calibri"/>
        </w:rPr>
        <w:t>Academic</w:t>
      </w:r>
      <w:r w:rsidR="00870F3E" w:rsidRPr="00111D1D">
        <w:rPr>
          <w:rFonts w:cs="Calibri"/>
        </w:rPr>
        <w:t xml:space="preserve"> </w:t>
      </w:r>
      <w:r w:rsidR="388DEEC3" w:rsidRPr="00111D1D">
        <w:rPr>
          <w:rFonts w:cs="Calibri"/>
        </w:rPr>
        <w:t>Salary scale point</w:t>
      </w:r>
      <w:r w:rsidR="00870F3E" w:rsidRPr="00111D1D">
        <w:rPr>
          <w:rFonts w:cs="Calibri"/>
        </w:rPr>
        <w:t xml:space="preserve"> </w:t>
      </w:r>
      <w:r w:rsidR="297C4385" w:rsidRPr="00111D1D">
        <w:rPr>
          <w:rFonts w:cs="Calibri"/>
        </w:rPr>
        <w:t>41 (currently</w:t>
      </w:r>
      <w:r w:rsidR="00870F3E" w:rsidRPr="00111D1D">
        <w:rPr>
          <w:rFonts w:cs="Calibri"/>
        </w:rPr>
        <w:t xml:space="preserve"> £</w:t>
      </w:r>
      <w:r w:rsidR="4F5F4829" w:rsidRPr="00111D1D">
        <w:rPr>
          <w:rFonts w:cs="Calibri"/>
        </w:rPr>
        <w:t>51,301)</w:t>
      </w:r>
    </w:p>
    <w:p w14:paraId="1A7CF8D5" w14:textId="5CE9B675" w:rsidR="009D47E8" w:rsidRPr="00111D1D" w:rsidRDefault="0034192B" w:rsidP="009D47E8">
      <w:pPr>
        <w:numPr>
          <w:ilvl w:val="0"/>
          <w:numId w:val="3"/>
        </w:numPr>
        <w:rPr>
          <w:rFonts w:cs="Calibri"/>
        </w:rPr>
      </w:pPr>
      <w:r w:rsidRPr="00111D1D">
        <w:rPr>
          <w:rFonts w:cs="Calibri"/>
        </w:rPr>
        <w:t>30% overheads</w:t>
      </w:r>
    </w:p>
    <w:p w14:paraId="4762B714" w14:textId="758CA283" w:rsidR="009D47E8" w:rsidRPr="00111D1D" w:rsidRDefault="00184942" w:rsidP="009D47E8">
      <w:pPr>
        <w:numPr>
          <w:ilvl w:val="0"/>
          <w:numId w:val="3"/>
        </w:numPr>
        <w:rPr>
          <w:rFonts w:cs="Calibri"/>
        </w:rPr>
      </w:pPr>
      <w:r w:rsidRPr="00111D1D">
        <w:rPr>
          <w:rFonts w:cs="Calibri"/>
        </w:rPr>
        <w:t>T</w:t>
      </w:r>
      <w:r w:rsidR="009D47E8" w:rsidRPr="00111D1D">
        <w:rPr>
          <w:rFonts w:cs="Calibri"/>
        </w:rPr>
        <w:t>raining and development activitie</w:t>
      </w:r>
      <w:r w:rsidR="0034192B" w:rsidRPr="00111D1D">
        <w:rPr>
          <w:rFonts w:cs="Calibri"/>
        </w:rPr>
        <w:t>s</w:t>
      </w:r>
    </w:p>
    <w:p w14:paraId="0C1AEED6" w14:textId="00FEB54F" w:rsidR="0034192B" w:rsidRPr="00111D1D" w:rsidRDefault="00696C99" w:rsidP="009D47E8">
      <w:pPr>
        <w:numPr>
          <w:ilvl w:val="0"/>
          <w:numId w:val="3"/>
        </w:numPr>
        <w:rPr>
          <w:rFonts w:cs="Calibri"/>
        </w:rPr>
      </w:pPr>
      <w:r w:rsidRPr="00111D1D">
        <w:rPr>
          <w:rFonts w:cs="Calibri"/>
        </w:rPr>
        <w:t>R</w:t>
      </w:r>
      <w:r w:rsidR="0034192B" w:rsidRPr="00111D1D">
        <w:rPr>
          <w:rFonts w:cs="Calibri"/>
        </w:rPr>
        <w:t xml:space="preserve">esearch costs </w:t>
      </w:r>
    </w:p>
    <w:p w14:paraId="311660D8" w14:textId="7CADD822" w:rsidR="009D47E8" w:rsidRPr="00111D1D" w:rsidRDefault="009D47E8" w:rsidP="009D47E8">
      <w:pPr>
        <w:rPr>
          <w:rFonts w:cs="Calibri"/>
        </w:rPr>
      </w:pPr>
      <w:r w:rsidRPr="00111D1D">
        <w:rPr>
          <w:rFonts w:cs="Calibri"/>
        </w:rPr>
        <w:t xml:space="preserve">The award is </w:t>
      </w:r>
      <w:r w:rsidR="0034192B" w:rsidRPr="00111D1D">
        <w:rPr>
          <w:rFonts w:cs="Calibri"/>
        </w:rPr>
        <w:t>not intended to fund a full research project, and non-staff costs are capped at £20,000.</w:t>
      </w:r>
    </w:p>
    <w:p w14:paraId="4ECBFF83" w14:textId="77777777" w:rsidR="00812D57" w:rsidRPr="00F5382F" w:rsidRDefault="00812D57" w:rsidP="00812D57">
      <w:pPr>
        <w:rPr>
          <w:rFonts w:cs="Calibri"/>
        </w:rPr>
      </w:pPr>
      <w:r w:rsidRPr="00F5382F">
        <w:rPr>
          <w:rFonts w:cs="Calibri"/>
        </w:rPr>
        <w:t xml:space="preserve">Applicants are required to discuss funding and costing arrangements with the host institution’s Research Manager </w:t>
      </w:r>
      <w:r>
        <w:rPr>
          <w:rFonts w:cs="Calibri"/>
        </w:rPr>
        <w:t xml:space="preserve">or </w:t>
      </w:r>
      <w:r w:rsidRPr="00F5382F">
        <w:rPr>
          <w:rFonts w:cs="Calibri"/>
        </w:rPr>
        <w:t>costing team prior to applying.</w:t>
      </w:r>
    </w:p>
    <w:p w14:paraId="03161358" w14:textId="77777777" w:rsidR="00812D57" w:rsidRDefault="00812D57" w:rsidP="00812D57">
      <w:pPr>
        <w:rPr>
          <w:rFonts w:cs="Calibri"/>
        </w:rPr>
      </w:pPr>
      <w:r w:rsidRPr="00A1797A">
        <w:rPr>
          <w:rFonts w:cs="Calibri"/>
        </w:rPr>
        <w:t xml:space="preserve">Detailed costings </w:t>
      </w:r>
      <w:r w:rsidRPr="00812D57">
        <w:rPr>
          <w:rFonts w:cs="Calibri"/>
          <w:b/>
          <w:bCs/>
        </w:rPr>
        <w:t>are</w:t>
      </w:r>
      <w:r w:rsidRPr="00A1797A">
        <w:rPr>
          <w:rFonts w:cs="Calibri"/>
        </w:rPr>
        <w:t xml:space="preserve"> required at the application stage. </w:t>
      </w:r>
    </w:p>
    <w:p w14:paraId="23882691" w14:textId="320AED75" w:rsidR="00287C9A" w:rsidRPr="00F5382F" w:rsidRDefault="00287C9A" w:rsidP="00287C9A">
      <w:pPr>
        <w:rPr>
          <w:rFonts w:cs="Calibri"/>
          <w:b/>
          <w:bCs/>
        </w:rPr>
      </w:pPr>
      <w:r w:rsidRPr="00F5382F">
        <w:rPr>
          <w:rFonts w:cs="Calibri"/>
          <w:b/>
          <w:bCs/>
        </w:rPr>
        <w:t>Important Notes</w:t>
      </w:r>
      <w:r w:rsidR="00FD36F5">
        <w:rPr>
          <w:rFonts w:cs="Calibri"/>
          <w:b/>
          <w:bCs/>
        </w:rPr>
        <w:t>:</w:t>
      </w:r>
    </w:p>
    <w:p w14:paraId="552A1FBD" w14:textId="77777777" w:rsidR="006704F7" w:rsidRPr="00F5382F" w:rsidRDefault="006704F7" w:rsidP="006704F7">
      <w:pPr>
        <w:pStyle w:val="ListParagraph"/>
        <w:numPr>
          <w:ilvl w:val="0"/>
          <w:numId w:val="33"/>
        </w:numPr>
        <w:spacing w:after="200" w:line="276" w:lineRule="auto"/>
      </w:pPr>
      <w:r w:rsidRPr="00F5382F">
        <w:t xml:space="preserve">Salary </w:t>
      </w:r>
      <w:r>
        <w:t xml:space="preserve">can include annual increments; however, the cap should not be exceeded </w:t>
      </w:r>
      <w:proofErr w:type="gramStart"/>
      <w:r>
        <w:t>during the course of</w:t>
      </w:r>
      <w:proofErr w:type="gramEnd"/>
      <w:r>
        <w:t xml:space="preserve"> the award.</w:t>
      </w:r>
    </w:p>
    <w:p w14:paraId="3BCF8759" w14:textId="68446D8E" w:rsidR="00287C9A" w:rsidRPr="00FD36F5" w:rsidRDefault="00287C9A" w:rsidP="00812D57">
      <w:pPr>
        <w:pStyle w:val="ListParagraph"/>
        <w:numPr>
          <w:ilvl w:val="0"/>
          <w:numId w:val="33"/>
        </w:numPr>
        <w:spacing w:after="200" w:line="276" w:lineRule="auto"/>
      </w:pPr>
      <w:r w:rsidRPr="00F5382F">
        <w:t>Any promotion or salary uplift resulting from securing the fellowship will not be funded</w:t>
      </w:r>
      <w:r w:rsidR="00FD36F5">
        <w:t>.</w:t>
      </w:r>
    </w:p>
    <w:p w14:paraId="04403A9A" w14:textId="62002FC3" w:rsidR="009D47E8" w:rsidRPr="00111D1D" w:rsidRDefault="009D47E8" w:rsidP="009D47E8">
      <w:pPr>
        <w:rPr>
          <w:rFonts w:cs="Calibri"/>
          <w:b/>
          <w:bCs/>
        </w:rPr>
      </w:pPr>
      <w:r w:rsidRPr="00111D1D">
        <w:rPr>
          <w:rFonts w:cs="Calibri"/>
          <w:b/>
          <w:bCs/>
        </w:rPr>
        <w:t>Alignment with the NHS 10-Year Plan, Policy, or Knowledge Mobilisation</w:t>
      </w:r>
    </w:p>
    <w:p w14:paraId="2F14DA79" w14:textId="77777777" w:rsidR="009D47E8" w:rsidRPr="00111D1D" w:rsidRDefault="009D47E8" w:rsidP="009D47E8">
      <w:pPr>
        <w:rPr>
          <w:rFonts w:cs="Calibri"/>
        </w:rPr>
      </w:pPr>
      <w:r w:rsidRPr="00111D1D">
        <w:rPr>
          <w:rFonts w:cs="Calibri"/>
        </w:rPr>
        <w:t xml:space="preserve">A key requirement of this round is that all fellowship proposals must clearly align with </w:t>
      </w:r>
      <w:r w:rsidRPr="00111D1D">
        <w:rPr>
          <w:rFonts w:cs="Calibri"/>
          <w:b/>
          <w:bCs/>
        </w:rPr>
        <w:t>one or more</w:t>
      </w:r>
      <w:r w:rsidRPr="00111D1D">
        <w:rPr>
          <w:rFonts w:cs="Calibri"/>
        </w:rPr>
        <w:t xml:space="preserve"> of the following:</w:t>
      </w:r>
    </w:p>
    <w:p w14:paraId="4E0E1418" w14:textId="3C3529CD" w:rsidR="009D47E8" w:rsidRPr="00111D1D" w:rsidRDefault="009D47E8" w:rsidP="009D47E8">
      <w:pPr>
        <w:rPr>
          <w:rFonts w:cs="Calibri"/>
          <w:b/>
          <w:bCs/>
        </w:rPr>
      </w:pPr>
      <w:r w:rsidRPr="00111D1D">
        <w:rPr>
          <w:rFonts w:cs="Calibri"/>
          <w:b/>
          <w:bCs/>
        </w:rPr>
        <w:t>NHS 10-Year Plan for England</w:t>
      </w:r>
    </w:p>
    <w:p w14:paraId="7DA23D8B" w14:textId="77777777" w:rsidR="009D47E8" w:rsidRPr="00111D1D" w:rsidRDefault="009D47E8" w:rsidP="003F5934">
      <w:pPr>
        <w:ind w:left="720"/>
        <w:rPr>
          <w:rFonts w:cs="Calibri"/>
        </w:rPr>
      </w:pPr>
      <w:r w:rsidRPr="00111D1D">
        <w:rPr>
          <w:rFonts w:cs="Calibri"/>
          <w:b/>
          <w:bCs/>
        </w:rPr>
        <w:t>Delivering more care in the community</w:t>
      </w:r>
      <w:r w:rsidRPr="00111D1D">
        <w:rPr>
          <w:rFonts w:cs="Calibri"/>
        </w:rPr>
        <w:br/>
        <w:t>– strengthening primary care provision</w:t>
      </w:r>
      <w:r w:rsidRPr="00111D1D">
        <w:rPr>
          <w:rFonts w:cs="Calibri"/>
        </w:rPr>
        <w:br/>
        <w:t>– supporting integrated neighbourhood teams</w:t>
      </w:r>
      <w:r w:rsidRPr="00111D1D">
        <w:rPr>
          <w:rFonts w:cs="Calibri"/>
        </w:rPr>
        <w:br/>
        <w:t>– improving access and continuity</w:t>
      </w:r>
    </w:p>
    <w:p w14:paraId="54200B09" w14:textId="77777777" w:rsidR="009D47E8" w:rsidRPr="00111D1D" w:rsidRDefault="009D47E8" w:rsidP="003F5934">
      <w:pPr>
        <w:ind w:left="720"/>
        <w:rPr>
          <w:rFonts w:cs="Calibri"/>
        </w:rPr>
      </w:pPr>
      <w:r w:rsidRPr="00111D1D">
        <w:rPr>
          <w:rFonts w:cs="Calibri"/>
          <w:b/>
          <w:bCs/>
        </w:rPr>
        <w:lastRenderedPageBreak/>
        <w:t>Making better use of digital and data</w:t>
      </w:r>
      <w:r w:rsidRPr="00111D1D">
        <w:rPr>
          <w:rFonts w:cs="Calibri"/>
        </w:rPr>
        <w:br/>
        <w:t>– technology-enabled care</w:t>
      </w:r>
      <w:r w:rsidRPr="00111D1D">
        <w:rPr>
          <w:rFonts w:cs="Calibri"/>
        </w:rPr>
        <w:br/>
        <w:t>– digital transformation of primary and community services</w:t>
      </w:r>
      <w:r w:rsidRPr="00111D1D">
        <w:rPr>
          <w:rFonts w:cs="Calibri"/>
        </w:rPr>
        <w:br/>
        <w:t>– AI, remote monitoring, digital inclusion</w:t>
      </w:r>
    </w:p>
    <w:p w14:paraId="6C5436C0" w14:textId="77777777" w:rsidR="009D47E8" w:rsidRPr="00111D1D" w:rsidRDefault="009D47E8" w:rsidP="003F5934">
      <w:pPr>
        <w:ind w:left="720"/>
        <w:rPr>
          <w:rFonts w:cs="Calibri"/>
        </w:rPr>
      </w:pPr>
      <w:r w:rsidRPr="00111D1D">
        <w:rPr>
          <w:rFonts w:cs="Calibri"/>
          <w:b/>
          <w:bCs/>
        </w:rPr>
        <w:t>Prevention, early intervention and reducing health inequalities</w:t>
      </w:r>
      <w:r w:rsidRPr="00111D1D">
        <w:rPr>
          <w:rFonts w:cs="Calibri"/>
        </w:rPr>
        <w:br/>
        <w:t>– tackling major conditions</w:t>
      </w:r>
      <w:r w:rsidRPr="00111D1D">
        <w:rPr>
          <w:rFonts w:cs="Calibri"/>
        </w:rPr>
        <w:br/>
        <w:t>– supporting self-care and population health management</w:t>
      </w:r>
      <w:r w:rsidRPr="00111D1D">
        <w:rPr>
          <w:rFonts w:cs="Calibri"/>
        </w:rPr>
        <w:br/>
        <w:t>– addressing underserved or marginalised communities</w:t>
      </w:r>
    </w:p>
    <w:p w14:paraId="75C565D3" w14:textId="338856D9" w:rsidR="009D47E8" w:rsidRPr="00111D1D" w:rsidRDefault="009D47E8" w:rsidP="009D47E8">
      <w:pPr>
        <w:rPr>
          <w:rFonts w:cs="Calibri"/>
          <w:b/>
          <w:bCs/>
        </w:rPr>
      </w:pPr>
      <w:r w:rsidRPr="00111D1D">
        <w:rPr>
          <w:rFonts w:cs="Calibri"/>
          <w:b/>
          <w:bCs/>
        </w:rPr>
        <w:t>Policy Impact</w:t>
      </w:r>
    </w:p>
    <w:p w14:paraId="30E03615" w14:textId="36EB56E1" w:rsidR="009D47E8" w:rsidRPr="00111D1D" w:rsidRDefault="0034192B" w:rsidP="009D47E8">
      <w:pPr>
        <w:rPr>
          <w:rFonts w:cs="Calibri"/>
        </w:rPr>
      </w:pPr>
      <w:r w:rsidRPr="00111D1D">
        <w:rPr>
          <w:rFonts w:cs="Calibri"/>
        </w:rPr>
        <w:t>Fellowships</w:t>
      </w:r>
      <w:r w:rsidR="009D47E8" w:rsidRPr="00111D1D">
        <w:rPr>
          <w:rFonts w:cs="Calibri"/>
        </w:rPr>
        <w:t xml:space="preserve"> may focus on:</w:t>
      </w:r>
    </w:p>
    <w:p w14:paraId="248782CC" w14:textId="77777777" w:rsidR="009D47E8" w:rsidRPr="00111D1D" w:rsidRDefault="009D47E8" w:rsidP="009D47E8">
      <w:pPr>
        <w:numPr>
          <w:ilvl w:val="0"/>
          <w:numId w:val="9"/>
        </w:numPr>
        <w:rPr>
          <w:rFonts w:cs="Calibri"/>
        </w:rPr>
      </w:pPr>
      <w:r w:rsidRPr="00111D1D">
        <w:rPr>
          <w:rFonts w:cs="Calibri"/>
        </w:rPr>
        <w:t xml:space="preserve">generating evidence to inform </w:t>
      </w:r>
      <w:r w:rsidRPr="00111D1D">
        <w:rPr>
          <w:rFonts w:cs="Calibri"/>
          <w:b/>
          <w:bCs/>
        </w:rPr>
        <w:t>national or local policy</w:t>
      </w:r>
      <w:r w:rsidRPr="00111D1D">
        <w:rPr>
          <w:rFonts w:cs="Calibri"/>
        </w:rPr>
        <w:t>,</w:t>
      </w:r>
    </w:p>
    <w:p w14:paraId="7DB1844D" w14:textId="77777777" w:rsidR="009D47E8" w:rsidRPr="00111D1D" w:rsidRDefault="009D47E8" w:rsidP="009D47E8">
      <w:pPr>
        <w:numPr>
          <w:ilvl w:val="0"/>
          <w:numId w:val="9"/>
        </w:numPr>
        <w:rPr>
          <w:rFonts w:cs="Calibri"/>
        </w:rPr>
      </w:pPr>
      <w:r w:rsidRPr="00111D1D">
        <w:rPr>
          <w:rFonts w:cs="Calibri"/>
        </w:rPr>
        <w:t>supporting Integrated Care Systems (ICSs) or DHSC strategy,</w:t>
      </w:r>
    </w:p>
    <w:p w14:paraId="1E2D8705" w14:textId="77777777" w:rsidR="009D47E8" w:rsidRPr="00111D1D" w:rsidRDefault="009D47E8" w:rsidP="009D47E8">
      <w:pPr>
        <w:numPr>
          <w:ilvl w:val="0"/>
          <w:numId w:val="9"/>
        </w:numPr>
        <w:rPr>
          <w:rFonts w:cs="Calibri"/>
        </w:rPr>
      </w:pPr>
      <w:r w:rsidRPr="00111D1D">
        <w:rPr>
          <w:rFonts w:cs="Calibri"/>
        </w:rPr>
        <w:t>evaluating implementation of new models of care or policy innovations.</w:t>
      </w:r>
    </w:p>
    <w:p w14:paraId="53A186D5" w14:textId="088DA459" w:rsidR="009D47E8" w:rsidRPr="00111D1D" w:rsidRDefault="009D47E8" w:rsidP="009D47E8">
      <w:pPr>
        <w:rPr>
          <w:rFonts w:cs="Calibri"/>
          <w:b/>
          <w:bCs/>
        </w:rPr>
      </w:pPr>
      <w:r w:rsidRPr="00111D1D">
        <w:rPr>
          <w:rFonts w:cs="Calibri"/>
          <w:b/>
          <w:bCs/>
        </w:rPr>
        <w:t>Knowledge Mobilisation</w:t>
      </w:r>
    </w:p>
    <w:p w14:paraId="76BE862C" w14:textId="77777777" w:rsidR="009D47E8" w:rsidRPr="00111D1D" w:rsidRDefault="009D47E8" w:rsidP="009D47E8">
      <w:pPr>
        <w:rPr>
          <w:rFonts w:cs="Calibri"/>
        </w:rPr>
      </w:pPr>
      <w:r w:rsidRPr="00111D1D">
        <w:rPr>
          <w:rFonts w:cs="Calibri"/>
        </w:rPr>
        <w:t>Projects may focus on:</w:t>
      </w:r>
    </w:p>
    <w:p w14:paraId="062E3C4D" w14:textId="77777777" w:rsidR="009D47E8" w:rsidRPr="00111D1D" w:rsidRDefault="009D47E8" w:rsidP="009D47E8">
      <w:pPr>
        <w:numPr>
          <w:ilvl w:val="0"/>
          <w:numId w:val="11"/>
        </w:numPr>
        <w:rPr>
          <w:rFonts w:cs="Calibri"/>
        </w:rPr>
      </w:pPr>
      <w:r w:rsidRPr="00111D1D">
        <w:rPr>
          <w:rFonts w:cs="Calibri"/>
        </w:rPr>
        <w:t>evidence translation and implementation science,</w:t>
      </w:r>
    </w:p>
    <w:p w14:paraId="36CC0242" w14:textId="77777777" w:rsidR="009D47E8" w:rsidRPr="00111D1D" w:rsidRDefault="009D47E8" w:rsidP="009D47E8">
      <w:pPr>
        <w:numPr>
          <w:ilvl w:val="0"/>
          <w:numId w:val="11"/>
        </w:numPr>
        <w:rPr>
          <w:rFonts w:cs="Calibri"/>
        </w:rPr>
      </w:pPr>
      <w:r w:rsidRPr="00111D1D">
        <w:rPr>
          <w:rFonts w:cs="Calibri"/>
        </w:rPr>
        <w:t>working with commissioners, ICSs, practitioners, or communities to embed evidence in practice,</w:t>
      </w:r>
    </w:p>
    <w:p w14:paraId="4B7F5EDD" w14:textId="77777777" w:rsidR="009D47E8" w:rsidRPr="00111D1D" w:rsidRDefault="009D47E8" w:rsidP="009D47E8">
      <w:pPr>
        <w:numPr>
          <w:ilvl w:val="0"/>
          <w:numId w:val="11"/>
        </w:numPr>
        <w:rPr>
          <w:rFonts w:cs="Calibri"/>
        </w:rPr>
      </w:pPr>
      <w:r w:rsidRPr="00111D1D">
        <w:rPr>
          <w:rFonts w:cs="Calibri"/>
        </w:rPr>
        <w:t>strengthening pathways for research impact at system, organisational, or community level.</w:t>
      </w:r>
    </w:p>
    <w:p w14:paraId="0E034CB6" w14:textId="180B407B" w:rsidR="0062153F" w:rsidRPr="00111D1D" w:rsidRDefault="009D47E8" w:rsidP="009D47E8">
      <w:pPr>
        <w:rPr>
          <w:rFonts w:cs="Calibri"/>
        </w:rPr>
      </w:pPr>
      <w:r w:rsidRPr="00111D1D">
        <w:rPr>
          <w:rFonts w:cs="Calibri"/>
        </w:rPr>
        <w:t xml:space="preserve">Applicants must </w:t>
      </w:r>
      <w:r w:rsidRPr="00111D1D">
        <w:rPr>
          <w:rFonts w:cs="Calibri"/>
          <w:b/>
          <w:bCs/>
        </w:rPr>
        <w:t>explicitly describe</w:t>
      </w:r>
      <w:r w:rsidRPr="00111D1D">
        <w:rPr>
          <w:rFonts w:cs="Calibri"/>
        </w:rPr>
        <w:t xml:space="preserve"> how their proposal aligns with one or more of these areas and how their </w:t>
      </w:r>
      <w:r w:rsidR="0034192B" w:rsidRPr="00111D1D">
        <w:rPr>
          <w:rFonts w:cs="Calibri"/>
        </w:rPr>
        <w:t>fellowships will support a research career that</w:t>
      </w:r>
      <w:r w:rsidRPr="00111D1D">
        <w:rPr>
          <w:rFonts w:cs="Calibri"/>
        </w:rPr>
        <w:t xml:space="preserve"> could drive change, inform decision-making, or support service improvement.</w:t>
      </w:r>
    </w:p>
    <w:p w14:paraId="65FF8C94" w14:textId="455AA478" w:rsidR="009D47E8" w:rsidRPr="00111D1D" w:rsidRDefault="009D47E8" w:rsidP="009D47E8">
      <w:pPr>
        <w:rPr>
          <w:rFonts w:cs="Calibri"/>
          <w:b/>
          <w:bCs/>
        </w:rPr>
      </w:pPr>
      <w:r w:rsidRPr="00111D1D">
        <w:rPr>
          <w:rFonts w:cs="Calibri"/>
          <w:b/>
          <w:bCs/>
        </w:rPr>
        <w:t xml:space="preserve">What to Include in Your </w:t>
      </w:r>
      <w:r w:rsidR="3E4C8667" w:rsidRPr="2C9FA3FC">
        <w:rPr>
          <w:rFonts w:cs="Calibri"/>
          <w:b/>
          <w:bCs/>
        </w:rPr>
        <w:t>Research Plan</w:t>
      </w:r>
    </w:p>
    <w:p w14:paraId="17C0FE35" w14:textId="181AE84D" w:rsidR="009D47E8" w:rsidRPr="00111D1D" w:rsidRDefault="66CDE5BD" w:rsidP="009D47E8">
      <w:pPr>
        <w:rPr>
          <w:rFonts w:cs="Calibri"/>
        </w:rPr>
      </w:pPr>
      <w:r w:rsidRPr="2C9FA3FC">
        <w:rPr>
          <w:rFonts w:cs="Calibri"/>
        </w:rPr>
        <w:t>Research plan</w:t>
      </w:r>
      <w:r w:rsidR="009D47E8" w:rsidRPr="2C9FA3FC">
        <w:rPr>
          <w:rFonts w:cs="Calibri"/>
        </w:rPr>
        <w:t>s</w:t>
      </w:r>
      <w:r w:rsidR="009D47E8" w:rsidRPr="00111D1D">
        <w:rPr>
          <w:rFonts w:cs="Calibri"/>
        </w:rPr>
        <w:t xml:space="preserve"> should address the following areas:</w:t>
      </w:r>
    </w:p>
    <w:p w14:paraId="61E4F511" w14:textId="41645CFF" w:rsidR="009D47E8" w:rsidRPr="00111D1D" w:rsidRDefault="009D47E8" w:rsidP="009D47E8">
      <w:pPr>
        <w:rPr>
          <w:rFonts w:cs="Calibri"/>
          <w:b/>
          <w:bCs/>
        </w:rPr>
      </w:pPr>
      <w:r w:rsidRPr="00111D1D">
        <w:rPr>
          <w:rFonts w:cs="Calibri"/>
          <w:b/>
          <w:bCs/>
        </w:rPr>
        <w:t>Research Problem and Importance</w:t>
      </w:r>
    </w:p>
    <w:p w14:paraId="279A87C3" w14:textId="2D2052BE" w:rsidR="009D47E8" w:rsidRPr="00111D1D" w:rsidRDefault="009D47E8" w:rsidP="009D47E8">
      <w:pPr>
        <w:numPr>
          <w:ilvl w:val="0"/>
          <w:numId w:val="29"/>
        </w:numPr>
        <w:rPr>
          <w:rFonts w:cs="Calibri"/>
        </w:rPr>
      </w:pPr>
      <w:r w:rsidRPr="00111D1D">
        <w:rPr>
          <w:rFonts w:cs="Calibri"/>
        </w:rPr>
        <w:t xml:space="preserve">What primary care challenge does your </w:t>
      </w:r>
      <w:r w:rsidR="00600B29" w:rsidRPr="00111D1D">
        <w:rPr>
          <w:rFonts w:cs="Calibri"/>
        </w:rPr>
        <w:t xml:space="preserve">fellowship </w:t>
      </w:r>
      <w:r w:rsidRPr="00111D1D">
        <w:rPr>
          <w:rFonts w:cs="Calibri"/>
        </w:rPr>
        <w:t>address?</w:t>
      </w:r>
    </w:p>
    <w:p w14:paraId="6E56FD9B" w14:textId="77777777" w:rsidR="009D47E8" w:rsidRPr="00111D1D" w:rsidRDefault="009D47E8" w:rsidP="009D47E8">
      <w:pPr>
        <w:numPr>
          <w:ilvl w:val="0"/>
          <w:numId w:val="29"/>
        </w:numPr>
        <w:rPr>
          <w:rFonts w:cs="Calibri"/>
        </w:rPr>
      </w:pPr>
      <w:r w:rsidRPr="00111D1D">
        <w:rPr>
          <w:rFonts w:cs="Calibri"/>
        </w:rPr>
        <w:t>Why is it important now?</w:t>
      </w:r>
    </w:p>
    <w:p w14:paraId="1A4C253D" w14:textId="77777777" w:rsidR="009D47E8" w:rsidRPr="00111D1D" w:rsidRDefault="009D47E8" w:rsidP="009D47E8">
      <w:pPr>
        <w:numPr>
          <w:ilvl w:val="0"/>
          <w:numId w:val="29"/>
        </w:numPr>
        <w:rPr>
          <w:rFonts w:cs="Calibri"/>
        </w:rPr>
      </w:pPr>
      <w:r w:rsidRPr="00111D1D">
        <w:rPr>
          <w:rFonts w:cs="Calibri"/>
        </w:rPr>
        <w:t>How does it relate to the NHS 10-Year Plan, policy priorities, or knowledge mobilisation?</w:t>
      </w:r>
    </w:p>
    <w:p w14:paraId="1FA738EE" w14:textId="77777777" w:rsidR="003F5934" w:rsidRDefault="003F5934" w:rsidP="009D47E8">
      <w:pPr>
        <w:rPr>
          <w:rFonts w:cs="Calibri"/>
          <w:b/>
          <w:bCs/>
        </w:rPr>
      </w:pPr>
    </w:p>
    <w:p w14:paraId="763D476F" w14:textId="39BCEB9A" w:rsidR="009D47E8" w:rsidRPr="00111D1D" w:rsidRDefault="009D47E8" w:rsidP="009D47E8">
      <w:pPr>
        <w:rPr>
          <w:rFonts w:cs="Calibri"/>
          <w:b/>
          <w:bCs/>
        </w:rPr>
      </w:pPr>
      <w:r w:rsidRPr="00111D1D">
        <w:rPr>
          <w:rFonts w:cs="Calibri"/>
          <w:b/>
          <w:bCs/>
        </w:rPr>
        <w:lastRenderedPageBreak/>
        <w:t>Potential Impact</w:t>
      </w:r>
    </w:p>
    <w:p w14:paraId="27EA68F5" w14:textId="77777777" w:rsidR="009D47E8" w:rsidRPr="00111D1D" w:rsidRDefault="009D47E8" w:rsidP="009D47E8">
      <w:pPr>
        <w:numPr>
          <w:ilvl w:val="0"/>
          <w:numId w:val="4"/>
        </w:numPr>
        <w:rPr>
          <w:rFonts w:cs="Calibri"/>
        </w:rPr>
      </w:pPr>
      <w:r w:rsidRPr="00111D1D">
        <w:rPr>
          <w:rFonts w:cs="Calibri"/>
        </w:rPr>
        <w:t>Who will benefit (patients, carers, clinicians, communities, ICSs)?</w:t>
      </w:r>
    </w:p>
    <w:p w14:paraId="66C94DC0" w14:textId="77777777" w:rsidR="009D47E8" w:rsidRPr="00111D1D" w:rsidRDefault="009D47E8" w:rsidP="009D47E8">
      <w:pPr>
        <w:numPr>
          <w:ilvl w:val="0"/>
          <w:numId w:val="4"/>
        </w:numPr>
        <w:rPr>
          <w:rFonts w:cs="Calibri"/>
        </w:rPr>
      </w:pPr>
      <w:r w:rsidRPr="00111D1D">
        <w:rPr>
          <w:rFonts w:cs="Calibri"/>
        </w:rPr>
        <w:t>How will your work improve outcomes, access, experience, or system efficiency?</w:t>
      </w:r>
    </w:p>
    <w:p w14:paraId="53B8BB48" w14:textId="4F4672C7" w:rsidR="009D47E8" w:rsidRPr="00111D1D" w:rsidRDefault="009D47E8" w:rsidP="009D47E8">
      <w:pPr>
        <w:numPr>
          <w:ilvl w:val="0"/>
          <w:numId w:val="4"/>
        </w:numPr>
        <w:rPr>
          <w:rFonts w:cs="Calibri"/>
        </w:rPr>
      </w:pPr>
      <w:r w:rsidRPr="00111D1D">
        <w:rPr>
          <w:rFonts w:cs="Calibri"/>
        </w:rPr>
        <w:t xml:space="preserve">What are the implications for </w:t>
      </w:r>
      <w:r w:rsidR="009C518F" w:rsidRPr="00111D1D">
        <w:rPr>
          <w:rFonts w:cs="Calibri"/>
        </w:rPr>
        <w:t xml:space="preserve">NHS primary care </w:t>
      </w:r>
      <w:r w:rsidRPr="00111D1D">
        <w:rPr>
          <w:rFonts w:cs="Calibri"/>
        </w:rPr>
        <w:t>practice, policy, or service redesign?</w:t>
      </w:r>
    </w:p>
    <w:p w14:paraId="0D0ADFB0" w14:textId="24174B81" w:rsidR="002622A7" w:rsidRPr="00111D1D" w:rsidRDefault="002622A7" w:rsidP="009D47E8">
      <w:pPr>
        <w:numPr>
          <w:ilvl w:val="0"/>
          <w:numId w:val="4"/>
        </w:numPr>
        <w:rPr>
          <w:rFonts w:cs="Calibri"/>
        </w:rPr>
      </w:pPr>
      <w:r w:rsidRPr="00111D1D">
        <w:rPr>
          <w:rFonts w:cs="Calibri"/>
        </w:rPr>
        <w:t>How will gaining this award support and further your development as a researcher?</w:t>
      </w:r>
    </w:p>
    <w:p w14:paraId="70F58EA6" w14:textId="22AA9E2E" w:rsidR="009D47E8" w:rsidRPr="00111D1D" w:rsidRDefault="009D47E8" w:rsidP="009D47E8">
      <w:pPr>
        <w:rPr>
          <w:rFonts w:cs="Calibri"/>
          <w:b/>
          <w:bCs/>
        </w:rPr>
      </w:pPr>
      <w:r w:rsidRPr="00111D1D">
        <w:rPr>
          <w:rFonts w:cs="Calibri"/>
          <w:b/>
          <w:bCs/>
        </w:rPr>
        <w:t>Research Methods</w:t>
      </w:r>
    </w:p>
    <w:p w14:paraId="176E59D0" w14:textId="77777777" w:rsidR="009D47E8" w:rsidRPr="00111D1D" w:rsidRDefault="009D47E8" w:rsidP="009D47E8">
      <w:pPr>
        <w:rPr>
          <w:rFonts w:cs="Calibri"/>
        </w:rPr>
      </w:pPr>
      <w:r w:rsidRPr="00111D1D">
        <w:rPr>
          <w:rFonts w:cs="Calibri"/>
        </w:rPr>
        <w:t>Outline:</w:t>
      </w:r>
    </w:p>
    <w:p w14:paraId="7F783C6D" w14:textId="77777777" w:rsidR="009D47E8" w:rsidRPr="00111D1D" w:rsidRDefault="009D47E8" w:rsidP="009D47E8">
      <w:pPr>
        <w:numPr>
          <w:ilvl w:val="0"/>
          <w:numId w:val="14"/>
        </w:numPr>
        <w:rPr>
          <w:rFonts w:cs="Calibri"/>
        </w:rPr>
      </w:pPr>
      <w:r w:rsidRPr="00111D1D">
        <w:rPr>
          <w:rFonts w:cs="Calibri"/>
        </w:rPr>
        <w:t>design and methodology</w:t>
      </w:r>
    </w:p>
    <w:p w14:paraId="42B326D2" w14:textId="77777777" w:rsidR="009D47E8" w:rsidRPr="00111D1D" w:rsidRDefault="009D47E8" w:rsidP="009D47E8">
      <w:pPr>
        <w:numPr>
          <w:ilvl w:val="0"/>
          <w:numId w:val="14"/>
        </w:numPr>
        <w:rPr>
          <w:rFonts w:cs="Calibri"/>
        </w:rPr>
      </w:pPr>
      <w:r w:rsidRPr="00111D1D">
        <w:rPr>
          <w:rFonts w:cs="Calibri"/>
        </w:rPr>
        <w:t>data sources</w:t>
      </w:r>
    </w:p>
    <w:p w14:paraId="6DE51EA1" w14:textId="77777777" w:rsidR="009D47E8" w:rsidRPr="00111D1D" w:rsidRDefault="009D47E8" w:rsidP="009D47E8">
      <w:pPr>
        <w:numPr>
          <w:ilvl w:val="0"/>
          <w:numId w:val="14"/>
        </w:numPr>
        <w:rPr>
          <w:rFonts w:cs="Calibri"/>
        </w:rPr>
      </w:pPr>
      <w:r w:rsidRPr="00111D1D">
        <w:rPr>
          <w:rFonts w:cs="Calibri"/>
        </w:rPr>
        <w:t>analytic approach</w:t>
      </w:r>
    </w:p>
    <w:p w14:paraId="09D4E640" w14:textId="77777777" w:rsidR="009D47E8" w:rsidRPr="00111D1D" w:rsidRDefault="009D47E8" w:rsidP="009D47E8">
      <w:pPr>
        <w:numPr>
          <w:ilvl w:val="0"/>
          <w:numId w:val="14"/>
        </w:numPr>
        <w:rPr>
          <w:rFonts w:cs="Calibri"/>
        </w:rPr>
      </w:pPr>
      <w:r w:rsidRPr="00111D1D">
        <w:rPr>
          <w:rFonts w:cs="Calibri"/>
        </w:rPr>
        <w:t>rigour and feasibility</w:t>
      </w:r>
    </w:p>
    <w:p w14:paraId="4791DE1F" w14:textId="06320F30" w:rsidR="009D47E8" w:rsidRPr="00111D1D" w:rsidRDefault="009D47E8" w:rsidP="009D47E8">
      <w:pPr>
        <w:numPr>
          <w:ilvl w:val="0"/>
          <w:numId w:val="14"/>
        </w:numPr>
        <w:rPr>
          <w:rFonts w:cs="Calibri"/>
        </w:rPr>
      </w:pPr>
      <w:r w:rsidRPr="00111D1D">
        <w:rPr>
          <w:rFonts w:cs="Calibri"/>
        </w:rPr>
        <w:t xml:space="preserve">how involvement and inclusion will </w:t>
      </w:r>
      <w:r w:rsidR="1953FFAC" w:rsidRPr="2C9FA3FC">
        <w:rPr>
          <w:rFonts w:cs="Calibri"/>
        </w:rPr>
        <w:t>be embedded throughout</w:t>
      </w:r>
      <w:r w:rsidRPr="00111D1D">
        <w:rPr>
          <w:rFonts w:cs="Calibri"/>
        </w:rPr>
        <w:t xml:space="preserve"> your project</w:t>
      </w:r>
    </w:p>
    <w:p w14:paraId="42031FEE" w14:textId="4B59F6B0" w:rsidR="009D47E8" w:rsidRPr="00111D1D" w:rsidRDefault="009D47E8" w:rsidP="009D47E8">
      <w:pPr>
        <w:numPr>
          <w:ilvl w:val="0"/>
          <w:numId w:val="14"/>
        </w:numPr>
        <w:rPr>
          <w:rFonts w:ascii="Aptos" w:eastAsia="Aptos" w:hAnsi="Aptos" w:cs="Aptos"/>
        </w:rPr>
      </w:pPr>
      <w:r w:rsidRPr="2C9FA3FC">
        <w:rPr>
          <w:rFonts w:cs="Calibri"/>
        </w:rPr>
        <w:t>how you will address equity, diversity, and inclusion</w:t>
      </w:r>
      <w:r w:rsidR="167F0292" w:rsidRPr="2C9FA3FC">
        <w:rPr>
          <w:rFonts w:cs="Calibri"/>
        </w:rPr>
        <w:t xml:space="preserve"> (see: </w:t>
      </w:r>
      <w:hyperlink r:id="rId10">
        <w:r w:rsidR="167F0292" w:rsidRPr="2C9FA3FC">
          <w:rPr>
            <w:rStyle w:val="Hyperlink"/>
            <w:rFonts w:ascii="Aptos" w:eastAsia="Aptos" w:hAnsi="Aptos" w:cs="Aptos"/>
          </w:rPr>
          <w:t>Inclusive research funding application guidance | NIHR)</w:t>
        </w:r>
      </w:hyperlink>
      <w:r w:rsidR="167F0292" w:rsidRPr="2C9FA3FC">
        <w:rPr>
          <w:rFonts w:ascii="Aptos" w:eastAsia="Aptos" w:hAnsi="Aptos" w:cs="Aptos"/>
        </w:rPr>
        <w:t xml:space="preserve"> </w:t>
      </w:r>
    </w:p>
    <w:p w14:paraId="0CECD10B" w14:textId="0683011D" w:rsidR="009D47E8" w:rsidRPr="00111D1D" w:rsidRDefault="009D47E8" w:rsidP="009D47E8">
      <w:pPr>
        <w:rPr>
          <w:rFonts w:cs="Calibri"/>
          <w:b/>
          <w:bCs/>
        </w:rPr>
      </w:pPr>
      <w:r w:rsidRPr="00111D1D">
        <w:rPr>
          <w:rFonts w:cs="Calibri"/>
          <w:b/>
          <w:bCs/>
        </w:rPr>
        <w:t>Stakeholder Engagement</w:t>
      </w:r>
    </w:p>
    <w:p w14:paraId="741C55D4" w14:textId="2B289A2F" w:rsidR="009D47E8" w:rsidRPr="00111D1D" w:rsidRDefault="009D47E8" w:rsidP="009D47E8">
      <w:pPr>
        <w:numPr>
          <w:ilvl w:val="0"/>
          <w:numId w:val="15"/>
        </w:numPr>
        <w:rPr>
          <w:rFonts w:cs="Calibri"/>
        </w:rPr>
      </w:pPr>
      <w:r w:rsidRPr="00111D1D">
        <w:rPr>
          <w:rFonts w:cs="Calibri"/>
        </w:rPr>
        <w:t>Identify key stakeholders (e.g.</w:t>
      </w:r>
      <w:r w:rsidR="00600B29" w:rsidRPr="00111D1D">
        <w:rPr>
          <w:rFonts w:cs="Calibri"/>
        </w:rPr>
        <w:t xml:space="preserve"> </w:t>
      </w:r>
      <w:r w:rsidRPr="00111D1D">
        <w:rPr>
          <w:rFonts w:cs="Calibri"/>
        </w:rPr>
        <w:t>policymakers, community organisations).</w:t>
      </w:r>
    </w:p>
    <w:p w14:paraId="7E15A71D" w14:textId="77777777" w:rsidR="009D47E8" w:rsidRPr="00111D1D" w:rsidRDefault="009D47E8" w:rsidP="009D47E8">
      <w:pPr>
        <w:numPr>
          <w:ilvl w:val="0"/>
          <w:numId w:val="15"/>
        </w:numPr>
        <w:rPr>
          <w:rFonts w:cs="Calibri"/>
        </w:rPr>
      </w:pPr>
      <w:r w:rsidRPr="00111D1D">
        <w:rPr>
          <w:rFonts w:cs="Calibri"/>
        </w:rPr>
        <w:t>Describe how you will involve them throughout the project.</w:t>
      </w:r>
    </w:p>
    <w:p w14:paraId="1FB9028A" w14:textId="6ACE6410" w:rsidR="009D47E8" w:rsidRPr="00111D1D" w:rsidRDefault="009D47E8" w:rsidP="009D47E8">
      <w:pPr>
        <w:rPr>
          <w:rFonts w:cs="Calibri"/>
          <w:b/>
          <w:bCs/>
        </w:rPr>
      </w:pPr>
      <w:r w:rsidRPr="00111D1D">
        <w:rPr>
          <w:rFonts w:cs="Calibri"/>
          <w:b/>
          <w:bCs/>
        </w:rPr>
        <w:t>Outcomes and Knowledge Mobilisation</w:t>
      </w:r>
    </w:p>
    <w:p w14:paraId="17A33D7B" w14:textId="6621DA06" w:rsidR="009D47E8" w:rsidRPr="00111D1D" w:rsidRDefault="009D47E8" w:rsidP="009D47E8">
      <w:pPr>
        <w:numPr>
          <w:ilvl w:val="0"/>
          <w:numId w:val="27"/>
        </w:numPr>
        <w:rPr>
          <w:rFonts w:cs="Calibri"/>
        </w:rPr>
      </w:pPr>
      <w:r w:rsidRPr="00111D1D">
        <w:rPr>
          <w:rFonts w:cs="Calibri"/>
        </w:rPr>
        <w:t>Expected outputs and how they contribute to the evidence base</w:t>
      </w:r>
      <w:r w:rsidR="007D4596" w:rsidRPr="00111D1D">
        <w:rPr>
          <w:rFonts w:cs="Calibri"/>
        </w:rPr>
        <w:t xml:space="preserve"> </w:t>
      </w:r>
      <w:r w:rsidR="00C84A18" w:rsidRPr="00111D1D">
        <w:rPr>
          <w:rFonts w:cs="Calibri"/>
        </w:rPr>
        <w:t>for</w:t>
      </w:r>
      <w:r w:rsidR="0063287D" w:rsidRPr="00111D1D">
        <w:rPr>
          <w:rFonts w:cs="Calibri"/>
        </w:rPr>
        <w:t xml:space="preserve"> NHS</w:t>
      </w:r>
      <w:r w:rsidR="00280A8E" w:rsidRPr="00111D1D">
        <w:rPr>
          <w:rFonts w:cs="Calibri"/>
        </w:rPr>
        <w:t xml:space="preserve"> primary care</w:t>
      </w:r>
    </w:p>
    <w:p w14:paraId="6C7A46E3" w14:textId="77777777" w:rsidR="009D47E8" w:rsidRPr="00111D1D" w:rsidRDefault="009D47E8" w:rsidP="009D47E8">
      <w:pPr>
        <w:numPr>
          <w:ilvl w:val="0"/>
          <w:numId w:val="27"/>
        </w:numPr>
        <w:rPr>
          <w:rFonts w:cs="Calibri"/>
        </w:rPr>
      </w:pPr>
      <w:r w:rsidRPr="00111D1D">
        <w:rPr>
          <w:rFonts w:cs="Calibri"/>
        </w:rPr>
        <w:t>Plans for dissemination, engagement, or implementation</w:t>
      </w:r>
    </w:p>
    <w:p w14:paraId="29FE5CF1" w14:textId="77777777" w:rsidR="009D47E8" w:rsidRPr="00111D1D" w:rsidRDefault="009D47E8" w:rsidP="009D47E8">
      <w:pPr>
        <w:numPr>
          <w:ilvl w:val="0"/>
          <w:numId w:val="27"/>
        </w:numPr>
        <w:rPr>
          <w:rFonts w:cs="Calibri"/>
        </w:rPr>
      </w:pPr>
      <w:r w:rsidRPr="00111D1D">
        <w:rPr>
          <w:rFonts w:cs="Calibri"/>
        </w:rPr>
        <w:t>How your learning will inform future fellowship or grant applications</w:t>
      </w:r>
    </w:p>
    <w:p w14:paraId="1E404160" w14:textId="0AE1B24D" w:rsidR="009D47E8" w:rsidRPr="00111D1D" w:rsidRDefault="009D47E8" w:rsidP="009D47E8">
      <w:pPr>
        <w:rPr>
          <w:rFonts w:cs="Calibri"/>
          <w:b/>
          <w:bCs/>
        </w:rPr>
      </w:pPr>
      <w:r w:rsidRPr="00111D1D">
        <w:rPr>
          <w:rFonts w:cs="Calibri"/>
          <w:b/>
          <w:bCs/>
        </w:rPr>
        <w:t>Feasibility</w:t>
      </w:r>
    </w:p>
    <w:p w14:paraId="2218BFB7" w14:textId="77777777" w:rsidR="009D47E8" w:rsidRPr="00111D1D" w:rsidRDefault="009D47E8" w:rsidP="009D47E8">
      <w:pPr>
        <w:numPr>
          <w:ilvl w:val="0"/>
          <w:numId w:val="32"/>
        </w:numPr>
        <w:rPr>
          <w:rFonts w:cs="Calibri"/>
        </w:rPr>
      </w:pPr>
      <w:r w:rsidRPr="00111D1D">
        <w:rPr>
          <w:rFonts w:cs="Calibri"/>
        </w:rPr>
        <w:t>Delivery within time and resources</w:t>
      </w:r>
    </w:p>
    <w:p w14:paraId="2A7FA008" w14:textId="517FEE64" w:rsidR="009D47E8" w:rsidRPr="00111D1D" w:rsidRDefault="00600B29" w:rsidP="009D47E8">
      <w:pPr>
        <w:numPr>
          <w:ilvl w:val="0"/>
          <w:numId w:val="32"/>
        </w:numPr>
        <w:rPr>
          <w:rFonts w:cs="Calibri"/>
        </w:rPr>
      </w:pPr>
      <w:r w:rsidRPr="00111D1D">
        <w:rPr>
          <w:rFonts w:cs="Calibri"/>
        </w:rPr>
        <w:t>Supervisory and mentorship structures</w:t>
      </w:r>
    </w:p>
    <w:p w14:paraId="46CC0E7E" w14:textId="03C082E2" w:rsidR="00433B99" w:rsidRPr="00111D1D" w:rsidRDefault="009D47E8" w:rsidP="00111D1D">
      <w:pPr>
        <w:numPr>
          <w:ilvl w:val="0"/>
          <w:numId w:val="32"/>
        </w:numPr>
        <w:rPr>
          <w:rFonts w:cs="Calibri"/>
        </w:rPr>
      </w:pPr>
      <w:r w:rsidRPr="00111D1D">
        <w:rPr>
          <w:rFonts w:cs="Calibri"/>
        </w:rPr>
        <w:t>Risk management and mitigation</w:t>
      </w:r>
    </w:p>
    <w:p w14:paraId="43F39EAA" w14:textId="77777777" w:rsidR="003F5934" w:rsidRDefault="003F5934" w:rsidP="009D47E8">
      <w:pPr>
        <w:rPr>
          <w:rFonts w:cs="Calibri"/>
          <w:b/>
          <w:bCs/>
        </w:rPr>
      </w:pPr>
    </w:p>
    <w:p w14:paraId="7A04E8B5" w14:textId="6D3FCEF6" w:rsidR="00A97F08" w:rsidRPr="00111D1D" w:rsidRDefault="00A97F08" w:rsidP="009D47E8">
      <w:pPr>
        <w:rPr>
          <w:rFonts w:cs="Calibri"/>
          <w:b/>
          <w:bCs/>
        </w:rPr>
      </w:pPr>
      <w:r w:rsidRPr="00111D1D">
        <w:rPr>
          <w:rFonts w:cs="Calibri"/>
          <w:b/>
          <w:bCs/>
        </w:rPr>
        <w:lastRenderedPageBreak/>
        <w:t>Involvement and Inclusion</w:t>
      </w:r>
    </w:p>
    <w:p w14:paraId="7D0816D4" w14:textId="71143224" w:rsidR="009D47E8" w:rsidRPr="00111D1D" w:rsidRDefault="009D47E8" w:rsidP="009D47E8">
      <w:pPr>
        <w:rPr>
          <w:rFonts w:cs="Calibri"/>
        </w:rPr>
      </w:pPr>
      <w:r w:rsidRPr="00111D1D">
        <w:rPr>
          <w:rFonts w:cs="Calibri"/>
        </w:rPr>
        <w:t>As with all NIHR-funded research, the fellowship must include</w:t>
      </w:r>
      <w:r w:rsidR="00A97F08" w:rsidRPr="00111D1D">
        <w:rPr>
          <w:rFonts w:cs="Calibri"/>
        </w:rPr>
        <w:t xml:space="preserve"> high quality, meaningful involvement and inclusion of people and communities</w:t>
      </w:r>
      <w:r w:rsidRPr="00111D1D">
        <w:rPr>
          <w:rFonts w:cs="Calibri"/>
        </w:rPr>
        <w:t xml:space="preserve"> throughout the project lifecycle.</w:t>
      </w:r>
    </w:p>
    <w:p w14:paraId="01FFFDB9" w14:textId="184D42F2" w:rsidR="780F0ECA" w:rsidRDefault="780F0ECA" w:rsidP="2C9FA3FC">
      <w:pPr>
        <w:spacing w:before="240" w:after="240"/>
      </w:pPr>
      <w:r w:rsidRPr="2C9FA3FC">
        <w:rPr>
          <w:rFonts w:ascii="Aptos" w:eastAsia="Aptos" w:hAnsi="Aptos" w:cs="Aptos"/>
        </w:rPr>
        <w:t xml:space="preserve">For further information on what to include in this section please refer to the Career Development section of: </w:t>
      </w:r>
      <w:hyperlink r:id="rId11">
        <w:r w:rsidRPr="2C9FA3FC">
          <w:rPr>
            <w:rStyle w:val="Hyperlink"/>
            <w:rFonts w:ascii="Aptos" w:eastAsia="Aptos" w:hAnsi="Aptos" w:cs="Aptos"/>
          </w:rPr>
          <w:t>Guidance for applicants on working with people and communities | NIHR</w:t>
        </w:r>
      </w:hyperlink>
    </w:p>
    <w:p w14:paraId="3A60CF48" w14:textId="25E7F2B8" w:rsidR="009D47E8" w:rsidRPr="00111D1D" w:rsidRDefault="009D47E8" w:rsidP="009D47E8">
      <w:pPr>
        <w:rPr>
          <w:rFonts w:cs="Calibri"/>
        </w:rPr>
      </w:pPr>
      <w:r w:rsidRPr="00111D1D">
        <w:rPr>
          <w:rFonts w:cs="Calibri"/>
        </w:rPr>
        <w:t xml:space="preserve">Each SPCR member department has a </w:t>
      </w:r>
      <w:r w:rsidRPr="00111D1D">
        <w:rPr>
          <w:rFonts w:cs="Calibri"/>
          <w:b/>
          <w:bCs/>
        </w:rPr>
        <w:t>PPI Lead</w:t>
      </w:r>
      <w:r w:rsidRPr="00111D1D">
        <w:rPr>
          <w:rFonts w:cs="Calibri"/>
        </w:rPr>
        <w:t xml:space="preserve"> who can support applicants. Contacts are available here:</w:t>
      </w:r>
      <w:r w:rsidR="00AD5043" w:rsidRPr="00111D1D">
        <w:rPr>
          <w:rFonts w:cs="Calibri"/>
        </w:rPr>
        <w:t xml:space="preserve"> </w:t>
      </w:r>
      <w:hyperlink r:id="rId12" w:tgtFrame="_new" w:history="1">
        <w:r w:rsidRPr="00111D1D">
          <w:rPr>
            <w:rStyle w:val="Hyperlink"/>
            <w:rFonts w:cs="Calibri"/>
          </w:rPr>
          <w:t>https://www.spcr.nihr.ac.uk/PPI/get-involved/ppi-contacts</w:t>
        </w:r>
      </w:hyperlink>
    </w:p>
    <w:p w14:paraId="738673BD" w14:textId="6457DD89" w:rsidR="005D68A1" w:rsidRPr="00DF34E7" w:rsidRDefault="009D47E8" w:rsidP="002603AB">
      <w:pPr>
        <w:rPr>
          <w:rFonts w:cs="Calibri"/>
        </w:rPr>
      </w:pPr>
      <w:r w:rsidRPr="00111D1D">
        <w:rPr>
          <w:rFonts w:cs="Calibri"/>
        </w:rPr>
        <w:t>The NIHR Research Design Service may also be able to support pre-application involvement activities.</w:t>
      </w:r>
    </w:p>
    <w:p w14:paraId="135D9B95" w14:textId="4C3E20F5" w:rsidR="002603AB" w:rsidRPr="00111D1D" w:rsidRDefault="00DF34E7" w:rsidP="002603AB">
      <w:pPr>
        <w:rPr>
          <w:rFonts w:cs="Calibri"/>
          <w:b/>
          <w:bCs/>
        </w:rPr>
      </w:pPr>
      <w:r>
        <w:rPr>
          <w:rFonts w:cs="Calibri"/>
          <w:b/>
          <w:bCs/>
        </w:rPr>
        <w:t>C</w:t>
      </w:r>
      <w:r w:rsidR="002603AB" w:rsidRPr="00111D1D">
        <w:rPr>
          <w:rFonts w:cs="Calibri"/>
          <w:b/>
          <w:bCs/>
        </w:rPr>
        <w:t>osts</w:t>
      </w:r>
    </w:p>
    <w:p w14:paraId="77DBC4AE" w14:textId="5D950882" w:rsidR="003D3E9A" w:rsidRPr="00111D1D" w:rsidRDefault="00720E29" w:rsidP="002603AB">
      <w:pPr>
        <w:rPr>
          <w:rFonts w:cs="Calibri"/>
        </w:rPr>
      </w:pPr>
      <w:r w:rsidRPr="00111D1D">
        <w:rPr>
          <w:rFonts w:cs="Calibri"/>
        </w:rPr>
        <w:t xml:space="preserve">Applicants should provide realistic, well-justified estimates of fellowship-related non-pay research costs, including consumables, specialist software or data access fees, </w:t>
      </w:r>
      <w:r w:rsidR="00AD322F" w:rsidRPr="00111D1D">
        <w:rPr>
          <w:rFonts w:cs="Calibri"/>
        </w:rPr>
        <w:t xml:space="preserve">essential </w:t>
      </w:r>
      <w:r w:rsidRPr="00111D1D">
        <w:rPr>
          <w:rFonts w:cs="Calibri"/>
        </w:rPr>
        <w:t>equipment</w:t>
      </w:r>
      <w:r w:rsidR="00AD322F" w:rsidRPr="00111D1D">
        <w:rPr>
          <w:rFonts w:cs="Calibri"/>
        </w:rPr>
        <w:t xml:space="preserve">, </w:t>
      </w:r>
      <w:r w:rsidRPr="00111D1D">
        <w:rPr>
          <w:rFonts w:cs="Calibri"/>
        </w:rPr>
        <w:t xml:space="preserve">travel for collaboration, training and development activities, and costs for dissemination and </w:t>
      </w:r>
      <w:r w:rsidR="00CA7300" w:rsidRPr="00111D1D">
        <w:rPr>
          <w:rFonts w:cs="Calibri"/>
        </w:rPr>
        <w:t>involvement and inclusion</w:t>
      </w:r>
      <w:r w:rsidR="00E77BD4" w:rsidRPr="00111D1D">
        <w:rPr>
          <w:rFonts w:cs="Calibri"/>
        </w:rPr>
        <w:t>.</w:t>
      </w:r>
      <w:r w:rsidR="181256C8" w:rsidRPr="00111D1D">
        <w:rPr>
          <w:rFonts w:cs="Calibri"/>
        </w:rPr>
        <w:t xml:space="preserve"> </w:t>
      </w:r>
    </w:p>
    <w:p w14:paraId="08515059" w14:textId="598D18A7" w:rsidR="002603AB" w:rsidRPr="00111D1D" w:rsidRDefault="00891EE7" w:rsidP="002603AB">
      <w:pPr>
        <w:rPr>
          <w:rFonts w:eastAsiaTheme="minorEastAsia"/>
          <w:b/>
        </w:rPr>
      </w:pPr>
      <w:r w:rsidRPr="00111D1D">
        <w:rPr>
          <w:rFonts w:eastAsiaTheme="minorEastAsia"/>
          <w:b/>
        </w:rPr>
        <w:t xml:space="preserve">Details of proposed training and development </w:t>
      </w:r>
      <w:r w:rsidR="006E5B6B" w:rsidRPr="00111D1D">
        <w:rPr>
          <w:rFonts w:eastAsiaTheme="minorEastAsia"/>
          <w:b/>
        </w:rPr>
        <w:t>plan</w:t>
      </w:r>
    </w:p>
    <w:p w14:paraId="0E5E3A0E" w14:textId="151D6FDC" w:rsidR="002603AB" w:rsidRDefault="005703B8" w:rsidP="009D47E8">
      <w:pPr>
        <w:rPr>
          <w:rFonts w:cs="Calibri"/>
        </w:rPr>
      </w:pPr>
      <w:r w:rsidRPr="00111D1D">
        <w:rPr>
          <w:rFonts w:cs="Calibri"/>
        </w:rPr>
        <w:t xml:space="preserve">Applicants should provide a clear and structured plan outlining the training and development activities they intend to undertake during the fellowship. This </w:t>
      </w:r>
      <w:r w:rsidR="0488CAFD" w:rsidRPr="00111D1D">
        <w:rPr>
          <w:rFonts w:cs="Calibri"/>
        </w:rPr>
        <w:t>c</w:t>
      </w:r>
      <w:r w:rsidRPr="00111D1D">
        <w:rPr>
          <w:rFonts w:cs="Calibri"/>
        </w:rPr>
        <w:t>ould include formal courses, workshops, mentoring, networking opportunities, and skill-building initiatives designed to enhance research independence, leadership, and career progression. Justification should be given for how each activity will contribute to the applicant’s long-term career goals and professional growth.</w:t>
      </w:r>
    </w:p>
    <w:p w14:paraId="6FA3BE0B" w14:textId="6081CEC0" w:rsidR="5A71BCEA" w:rsidRDefault="5A71BCEA" w:rsidP="2C9FA3FC">
      <w:pPr>
        <w:spacing w:before="240" w:after="240"/>
      </w:pPr>
      <w:r w:rsidRPr="2C9FA3FC">
        <w:rPr>
          <w:rFonts w:ascii="Aptos" w:eastAsia="Aptos" w:hAnsi="Aptos" w:cs="Aptos"/>
        </w:rPr>
        <w:t>In this section we also ask applicants to actively consider what training is needed from an inclusion perspective. Base your needs on your current knowledge and experience of working inclusively and developing inclusive research. You should also consider your career stage, future goals and research area.</w:t>
      </w:r>
    </w:p>
    <w:p w14:paraId="05573EA1" w14:textId="3C6F4444" w:rsidR="00111D1D" w:rsidRPr="00B653A4" w:rsidRDefault="5A71BCEA" w:rsidP="00B653A4">
      <w:pPr>
        <w:spacing w:before="240" w:after="240"/>
      </w:pPr>
      <w:r w:rsidRPr="2C9FA3FC">
        <w:rPr>
          <w:rFonts w:ascii="Aptos" w:eastAsia="Aptos" w:hAnsi="Aptos" w:cs="Aptos"/>
        </w:rPr>
        <w:t xml:space="preserve">You can find further information about what training may be included in NIHR guidance for career development applications: </w:t>
      </w:r>
      <w:hyperlink r:id="rId13">
        <w:r w:rsidRPr="2C9FA3FC">
          <w:rPr>
            <w:rStyle w:val="Hyperlink"/>
            <w:rFonts w:ascii="Aptos" w:eastAsia="Aptos" w:hAnsi="Aptos" w:cs="Aptos"/>
          </w:rPr>
          <w:t>Inclusive research funding application guidance | NIHR</w:t>
        </w:r>
      </w:hyperlink>
    </w:p>
    <w:p w14:paraId="09A0B5AC" w14:textId="77777777" w:rsidR="00812C8E" w:rsidRDefault="00812C8E" w:rsidP="009D47E8">
      <w:pPr>
        <w:rPr>
          <w:rFonts w:cs="Calibri"/>
        </w:rPr>
      </w:pPr>
    </w:p>
    <w:p w14:paraId="6F18D3B7" w14:textId="77777777" w:rsidR="00812C8E" w:rsidRDefault="00812C8E" w:rsidP="009D47E8">
      <w:pPr>
        <w:rPr>
          <w:rFonts w:cs="Calibri"/>
        </w:rPr>
      </w:pPr>
    </w:p>
    <w:p w14:paraId="73B5B73C" w14:textId="77777777" w:rsidR="00812C8E" w:rsidRDefault="00812C8E" w:rsidP="009D47E8">
      <w:pPr>
        <w:rPr>
          <w:rFonts w:cs="Calibri"/>
        </w:rPr>
      </w:pPr>
    </w:p>
    <w:p w14:paraId="5622E205" w14:textId="267F10D6" w:rsidR="00E82CDD" w:rsidRPr="00111D1D" w:rsidRDefault="00E82CDD" w:rsidP="009D47E8">
      <w:pPr>
        <w:rPr>
          <w:rFonts w:cs="Calibri"/>
        </w:rPr>
      </w:pPr>
      <w:r w:rsidRPr="00111D1D">
        <w:rPr>
          <w:rFonts w:cs="Calibri"/>
        </w:rPr>
        <w:lastRenderedPageBreak/>
        <w:t>P</w:t>
      </w:r>
      <w:r w:rsidR="007E52F0" w:rsidRPr="00111D1D">
        <w:rPr>
          <w:rFonts w:cs="Calibri"/>
        </w:rPr>
        <w:t>lease not</w:t>
      </w:r>
      <w:r w:rsidR="00FB0EFC" w:rsidRPr="00111D1D">
        <w:rPr>
          <w:rFonts w:cs="Calibri"/>
        </w:rPr>
        <w:t xml:space="preserve">e, </w:t>
      </w:r>
      <w:r w:rsidR="00592897" w:rsidRPr="00111D1D">
        <w:rPr>
          <w:rFonts w:cs="Calibri"/>
        </w:rPr>
        <w:t>reviewer</w:t>
      </w:r>
      <w:r w:rsidR="00361ACB" w:rsidRPr="00111D1D">
        <w:rPr>
          <w:rFonts w:cs="Calibri"/>
        </w:rPr>
        <w:t>s will be</w:t>
      </w:r>
      <w:r w:rsidR="00787DF0" w:rsidRPr="00111D1D">
        <w:rPr>
          <w:rFonts w:cs="Calibri"/>
        </w:rPr>
        <w:t xml:space="preserve"> scoring</w:t>
      </w:r>
      <w:r w:rsidR="007A0E2B" w:rsidRPr="00111D1D">
        <w:rPr>
          <w:rFonts w:cs="Calibri"/>
        </w:rPr>
        <w:t xml:space="preserve"> your app</w:t>
      </w:r>
      <w:r w:rsidR="00320F20" w:rsidRPr="00111D1D">
        <w:rPr>
          <w:rFonts w:cs="Calibri"/>
        </w:rPr>
        <w:t>lication</w:t>
      </w:r>
      <w:r w:rsidR="002F4440" w:rsidRPr="00111D1D">
        <w:rPr>
          <w:rFonts w:cs="Calibri"/>
        </w:rPr>
        <w:t xml:space="preserve"> accord</w:t>
      </w:r>
      <w:r w:rsidR="00F76A0B" w:rsidRPr="00111D1D">
        <w:rPr>
          <w:rFonts w:cs="Calibri"/>
        </w:rPr>
        <w:t>ing to</w:t>
      </w:r>
      <w:r w:rsidR="00055312" w:rsidRPr="00111D1D">
        <w:rPr>
          <w:rFonts w:cs="Calibri"/>
        </w:rPr>
        <w:t xml:space="preserve"> the followin</w:t>
      </w:r>
      <w:r w:rsidR="00957F96" w:rsidRPr="00111D1D">
        <w:rPr>
          <w:rFonts w:cs="Calibri"/>
        </w:rPr>
        <w:t>g c</w:t>
      </w:r>
      <w:r w:rsidR="00C91AB6" w:rsidRPr="00111D1D">
        <w:rPr>
          <w:rFonts w:cs="Calibri"/>
        </w:rPr>
        <w:t>r</w:t>
      </w:r>
      <w:r w:rsidR="0059424C" w:rsidRPr="00111D1D">
        <w:rPr>
          <w:rFonts w:cs="Calibri"/>
        </w:rPr>
        <w:t>iteria</w:t>
      </w:r>
      <w:r w:rsidR="00324A16" w:rsidRPr="00111D1D">
        <w:rPr>
          <w:rFonts w:cs="Calibri"/>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980"/>
      </w:tblGrid>
      <w:tr w:rsidR="458346B0" w:rsidRPr="00111D1D" w14:paraId="5C44B992"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178E29EF" w14:textId="6CA998F3" w:rsidR="458346B0" w:rsidRPr="00111D1D" w:rsidRDefault="458346B0">
            <w:pPr>
              <w:rPr>
                <w:rFonts w:cs="Calibri"/>
                <w:b/>
                <w:bCs/>
              </w:rPr>
            </w:pPr>
            <w:r w:rsidRPr="00111D1D">
              <w:rPr>
                <w:rFonts w:cs="Calibri"/>
                <w:b/>
                <w:bCs/>
              </w:rPr>
              <w:t xml:space="preserve">PERSON </w:t>
            </w:r>
          </w:p>
        </w:tc>
      </w:tr>
      <w:tr w:rsidR="458346B0" w:rsidRPr="00111D1D" w14:paraId="7B5E6FE1"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07A7E850" w14:textId="6CF583B9" w:rsidR="458346B0" w:rsidRPr="00111D1D" w:rsidRDefault="458346B0">
            <w:pPr>
              <w:rPr>
                <w:rFonts w:cs="Calibri"/>
              </w:rPr>
            </w:pPr>
            <w:r w:rsidRPr="00111D1D">
              <w:rPr>
                <w:rFonts w:cs="Calibri"/>
              </w:rPr>
              <w:t xml:space="preserve">Interest in pursuing academic primary care research in the UK </w:t>
            </w:r>
          </w:p>
        </w:tc>
      </w:tr>
      <w:tr w:rsidR="458346B0" w:rsidRPr="00111D1D" w14:paraId="058FA646"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7F73A1DC" w14:textId="26EF7E1B" w:rsidR="458346B0" w:rsidRPr="00111D1D" w:rsidRDefault="458346B0">
            <w:pPr>
              <w:rPr>
                <w:rFonts w:cs="Calibri"/>
              </w:rPr>
            </w:pPr>
            <w:r w:rsidRPr="00111D1D">
              <w:rPr>
                <w:rFonts w:cs="Calibri"/>
              </w:rPr>
              <w:t xml:space="preserve">Excellent academic track record with evidence of interest in teaching or research  </w:t>
            </w:r>
          </w:p>
        </w:tc>
      </w:tr>
      <w:tr w:rsidR="458346B0" w:rsidRPr="00111D1D" w14:paraId="2409CAB6"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7EA19326" w14:textId="0331594E" w:rsidR="458346B0" w:rsidRPr="00111D1D" w:rsidRDefault="458346B0">
            <w:pPr>
              <w:rPr>
                <w:rFonts w:cs="Calibri"/>
              </w:rPr>
            </w:pPr>
            <w:r w:rsidRPr="00111D1D">
              <w:rPr>
                <w:rFonts w:cs="Calibri"/>
              </w:rPr>
              <w:t xml:space="preserve">Excellent written communication skills, demonstrated by a track record in publications, reports, a dissertation, or other written material </w:t>
            </w:r>
          </w:p>
        </w:tc>
      </w:tr>
      <w:tr w:rsidR="458346B0" w:rsidRPr="00111D1D" w14:paraId="2DAEB418"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7E88BAD3" w14:textId="61DD169B" w:rsidR="458346B0" w:rsidRPr="00111D1D" w:rsidRDefault="458346B0">
            <w:pPr>
              <w:rPr>
                <w:rFonts w:cs="Calibri"/>
              </w:rPr>
            </w:pPr>
            <w:r w:rsidRPr="00111D1D">
              <w:rPr>
                <w:rFonts w:cs="Calibri"/>
              </w:rPr>
              <w:t xml:space="preserve">Ability and motivation to pursue an independent research project </w:t>
            </w:r>
          </w:p>
        </w:tc>
      </w:tr>
      <w:tr w:rsidR="458346B0" w:rsidRPr="00111D1D" w14:paraId="790085E1"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077B914E" w14:textId="4BD61BEE" w:rsidR="458346B0" w:rsidRPr="00111D1D" w:rsidRDefault="458346B0">
            <w:pPr>
              <w:rPr>
                <w:rFonts w:cs="Calibri"/>
              </w:rPr>
            </w:pPr>
            <w:r w:rsidRPr="00111D1D">
              <w:rPr>
                <w:rFonts w:cs="Calibri"/>
              </w:rPr>
              <w:t xml:space="preserve">Evidence of ability to work as part of a team </w:t>
            </w:r>
          </w:p>
        </w:tc>
      </w:tr>
      <w:tr w:rsidR="458346B0" w:rsidRPr="00111D1D" w14:paraId="03A610AF"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34D7DCB7" w14:textId="783AB4A2" w:rsidR="458346B0" w:rsidRPr="00111D1D" w:rsidRDefault="458346B0">
            <w:pPr>
              <w:rPr>
                <w:rFonts w:cs="Calibri"/>
              </w:rPr>
            </w:pPr>
            <w:r w:rsidRPr="00111D1D">
              <w:rPr>
                <w:rFonts w:cs="Calibri"/>
              </w:rPr>
              <w:t xml:space="preserve">Ambition to collaborate and be part of the SPCR community </w:t>
            </w:r>
          </w:p>
        </w:tc>
      </w:tr>
      <w:tr w:rsidR="458346B0" w:rsidRPr="00111D1D" w14:paraId="276779BC"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0C0589A5" w14:textId="1E84525E" w:rsidR="458346B0" w:rsidRPr="00111D1D" w:rsidRDefault="458346B0">
            <w:pPr>
              <w:rPr>
                <w:rFonts w:cs="Calibri"/>
                <w:b/>
                <w:bCs/>
              </w:rPr>
            </w:pPr>
            <w:r w:rsidRPr="00111D1D">
              <w:rPr>
                <w:rFonts w:cs="Calibri"/>
                <w:b/>
                <w:bCs/>
              </w:rPr>
              <w:t xml:space="preserve">PROPOSAL </w:t>
            </w:r>
          </w:p>
        </w:tc>
      </w:tr>
      <w:tr w:rsidR="458346B0" w:rsidRPr="00111D1D" w14:paraId="436931CF"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446C9001" w14:textId="6B509154" w:rsidR="458346B0" w:rsidRPr="00111D1D" w:rsidRDefault="458346B0">
            <w:pPr>
              <w:rPr>
                <w:rFonts w:cs="Calibri"/>
              </w:rPr>
            </w:pPr>
            <w:r w:rsidRPr="00111D1D">
              <w:rPr>
                <w:rFonts w:cs="Calibri"/>
              </w:rPr>
              <w:t xml:space="preserve">Relevance of proposal to primary care and SPCR </w:t>
            </w:r>
          </w:p>
        </w:tc>
      </w:tr>
      <w:tr w:rsidR="458346B0" w:rsidRPr="00111D1D" w14:paraId="258B7F83"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50615822" w14:textId="5C621F71" w:rsidR="458346B0" w:rsidRPr="00111D1D" w:rsidRDefault="458346B0">
            <w:pPr>
              <w:rPr>
                <w:rFonts w:cs="Calibri"/>
              </w:rPr>
            </w:pPr>
            <w:r w:rsidRPr="00111D1D">
              <w:rPr>
                <w:rFonts w:cs="Calibri"/>
              </w:rPr>
              <w:t xml:space="preserve">Relevance of proposal to the 10 Year Health Plan or Policy/Knowledge Mobilisation </w:t>
            </w:r>
          </w:p>
        </w:tc>
      </w:tr>
      <w:tr w:rsidR="458346B0" w:rsidRPr="00111D1D" w14:paraId="2DC65096"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4554AC86" w14:textId="78CC251A" w:rsidR="458346B0" w:rsidRPr="00111D1D" w:rsidRDefault="458346B0">
            <w:pPr>
              <w:rPr>
                <w:rFonts w:cs="Calibri"/>
              </w:rPr>
            </w:pPr>
            <w:r w:rsidRPr="00111D1D">
              <w:rPr>
                <w:rFonts w:cs="Calibri"/>
              </w:rPr>
              <w:t xml:space="preserve">Clarity of aims </w:t>
            </w:r>
          </w:p>
        </w:tc>
      </w:tr>
      <w:tr w:rsidR="458346B0" w:rsidRPr="00111D1D" w14:paraId="2889E742"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58E9F02E" w14:textId="2893FAD6" w:rsidR="458346B0" w:rsidRPr="00111D1D" w:rsidRDefault="458346B0">
            <w:pPr>
              <w:rPr>
                <w:rFonts w:cs="Calibri"/>
              </w:rPr>
            </w:pPr>
            <w:r w:rsidRPr="00111D1D">
              <w:rPr>
                <w:rFonts w:cs="Calibri"/>
              </w:rPr>
              <w:t xml:space="preserve">PPI - involvement of patients/service users, carers and/or the public in developing this proposal and active involvement throughout the proposed project </w:t>
            </w:r>
          </w:p>
        </w:tc>
      </w:tr>
      <w:tr w:rsidR="458346B0" w:rsidRPr="00111D1D" w14:paraId="66DBF6C7"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38509290" w14:textId="5632D739" w:rsidR="458346B0" w:rsidRPr="00111D1D" w:rsidRDefault="458346B0">
            <w:pPr>
              <w:rPr>
                <w:rFonts w:cs="Calibri"/>
              </w:rPr>
            </w:pPr>
            <w:r w:rsidRPr="00111D1D">
              <w:rPr>
                <w:rFonts w:cs="Calibri"/>
              </w:rPr>
              <w:t xml:space="preserve">Appropriate methodology </w:t>
            </w:r>
          </w:p>
        </w:tc>
      </w:tr>
      <w:tr w:rsidR="458346B0" w:rsidRPr="00111D1D" w14:paraId="5AAEEA2A"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3D339A44" w14:textId="68436B9F" w:rsidR="458346B0" w:rsidRPr="00111D1D" w:rsidRDefault="458346B0">
            <w:pPr>
              <w:rPr>
                <w:rFonts w:cs="Calibri"/>
              </w:rPr>
            </w:pPr>
            <w:r w:rsidRPr="00111D1D">
              <w:rPr>
                <w:rFonts w:cs="Calibri"/>
              </w:rPr>
              <w:t xml:space="preserve">Feasibility and likelihood of completion in available time      </w:t>
            </w:r>
          </w:p>
        </w:tc>
      </w:tr>
      <w:tr w:rsidR="458346B0" w:rsidRPr="00111D1D" w14:paraId="3199901C" w14:textId="77777777" w:rsidTr="000E1C24">
        <w:trPr>
          <w:trHeight w:val="615"/>
        </w:trPr>
        <w:tc>
          <w:tcPr>
            <w:tcW w:w="8980" w:type="dxa"/>
            <w:tcBorders>
              <w:top w:val="single" w:sz="8" w:space="0" w:color="auto"/>
              <w:left w:val="single" w:sz="8" w:space="0" w:color="auto"/>
              <w:bottom w:val="single" w:sz="8" w:space="0" w:color="auto"/>
              <w:right w:val="single" w:sz="8" w:space="0" w:color="auto"/>
            </w:tcBorders>
          </w:tcPr>
          <w:p w14:paraId="16FB03A7" w14:textId="0DBC4138" w:rsidR="458346B0" w:rsidRPr="00111D1D" w:rsidRDefault="458346B0">
            <w:pPr>
              <w:rPr>
                <w:rFonts w:cs="Calibri"/>
              </w:rPr>
            </w:pPr>
            <w:r w:rsidRPr="00111D1D">
              <w:rPr>
                <w:rFonts w:cs="Calibri"/>
              </w:rPr>
              <w:t xml:space="preserve">Fit between proposed project and proposed supervisory team interests and expertise </w:t>
            </w:r>
          </w:p>
        </w:tc>
      </w:tr>
      <w:tr w:rsidR="458346B0" w:rsidRPr="00111D1D" w14:paraId="2734FA98" w14:textId="77777777" w:rsidTr="000E1C24">
        <w:trPr>
          <w:trHeight w:val="300"/>
        </w:trPr>
        <w:tc>
          <w:tcPr>
            <w:tcW w:w="8980" w:type="dxa"/>
            <w:tcBorders>
              <w:top w:val="single" w:sz="8" w:space="0" w:color="auto"/>
              <w:left w:val="single" w:sz="8" w:space="0" w:color="auto"/>
              <w:bottom w:val="single" w:sz="8" w:space="0" w:color="auto"/>
              <w:right w:val="single" w:sz="8" w:space="0" w:color="auto"/>
            </w:tcBorders>
          </w:tcPr>
          <w:p w14:paraId="74AD3CA0" w14:textId="4E13EFA4" w:rsidR="458346B0" w:rsidRPr="00111D1D" w:rsidRDefault="458346B0">
            <w:pPr>
              <w:rPr>
                <w:rFonts w:cs="Calibri"/>
              </w:rPr>
            </w:pPr>
            <w:r w:rsidRPr="00111D1D">
              <w:rPr>
                <w:rFonts w:cs="Calibri"/>
              </w:rPr>
              <w:t xml:space="preserve">Likelihood of being able to secure a further personal award or research funding at end of this fellowship  </w:t>
            </w:r>
          </w:p>
        </w:tc>
      </w:tr>
    </w:tbl>
    <w:p w14:paraId="047A015F" w14:textId="77777777" w:rsidR="00AD5043" w:rsidRPr="00111D1D" w:rsidRDefault="00AD5043" w:rsidP="009D47E8">
      <w:pPr>
        <w:rPr>
          <w:rFonts w:cs="Calibri"/>
          <w:b/>
          <w:bCs/>
        </w:rPr>
      </w:pPr>
    </w:p>
    <w:p w14:paraId="4C48CE20" w14:textId="77777777" w:rsidR="005D3626" w:rsidRDefault="005D3626" w:rsidP="009D47E8">
      <w:pPr>
        <w:rPr>
          <w:rFonts w:cs="Calibri"/>
          <w:b/>
          <w:bCs/>
        </w:rPr>
      </w:pPr>
    </w:p>
    <w:p w14:paraId="6733EB2B" w14:textId="77777777" w:rsidR="005D3626" w:rsidRDefault="005D3626" w:rsidP="009D47E8">
      <w:pPr>
        <w:rPr>
          <w:rFonts w:cs="Calibri"/>
          <w:b/>
          <w:bCs/>
        </w:rPr>
      </w:pPr>
    </w:p>
    <w:p w14:paraId="7FEF9DC0" w14:textId="77777777" w:rsidR="005D3626" w:rsidRDefault="005D3626" w:rsidP="009D47E8">
      <w:pPr>
        <w:rPr>
          <w:rFonts w:cs="Calibri"/>
          <w:b/>
          <w:bCs/>
        </w:rPr>
      </w:pPr>
    </w:p>
    <w:p w14:paraId="29BB578F" w14:textId="77777777" w:rsidR="005D3626" w:rsidRDefault="005D3626" w:rsidP="009D47E8">
      <w:pPr>
        <w:rPr>
          <w:rFonts w:cs="Calibri"/>
          <w:b/>
          <w:bCs/>
        </w:rPr>
      </w:pPr>
    </w:p>
    <w:p w14:paraId="072DEB92" w14:textId="77777777" w:rsidR="005D3626" w:rsidRDefault="005D3626" w:rsidP="009D47E8">
      <w:pPr>
        <w:rPr>
          <w:rFonts w:cs="Calibri"/>
          <w:b/>
          <w:bCs/>
        </w:rPr>
      </w:pPr>
    </w:p>
    <w:p w14:paraId="77433FFA" w14:textId="77777777" w:rsidR="005D3626" w:rsidRDefault="005D3626" w:rsidP="009D47E8">
      <w:pPr>
        <w:rPr>
          <w:rFonts w:cs="Calibri"/>
          <w:b/>
          <w:bCs/>
        </w:rPr>
      </w:pPr>
    </w:p>
    <w:p w14:paraId="65C4C4B8" w14:textId="07B2F3E5" w:rsidR="00047757" w:rsidRDefault="00047757" w:rsidP="009D47E8">
      <w:pPr>
        <w:rPr>
          <w:rFonts w:cs="Calibri"/>
          <w:b/>
          <w:bCs/>
        </w:rPr>
      </w:pPr>
      <w:r>
        <w:rPr>
          <w:rFonts w:cs="Calibri"/>
          <w:b/>
          <w:bCs/>
        </w:rPr>
        <w:lastRenderedPageBreak/>
        <w:t>Timeline:</w:t>
      </w:r>
    </w:p>
    <w:tbl>
      <w:tblPr>
        <w:tblStyle w:val="TableGrid"/>
        <w:tblW w:w="0" w:type="auto"/>
        <w:tblLook w:val="04A0" w:firstRow="1" w:lastRow="0" w:firstColumn="1" w:lastColumn="0" w:noHBand="0" w:noVBand="1"/>
      </w:tblPr>
      <w:tblGrid>
        <w:gridCol w:w="4320"/>
        <w:gridCol w:w="4310"/>
      </w:tblGrid>
      <w:tr w:rsidR="002A36CD" w14:paraId="4B44D360" w14:textId="77777777" w:rsidTr="006632D7">
        <w:tc>
          <w:tcPr>
            <w:tcW w:w="4320" w:type="dxa"/>
          </w:tcPr>
          <w:p w14:paraId="5E29711D" w14:textId="77777777" w:rsidR="002A36CD" w:rsidRDefault="002A36CD" w:rsidP="006632D7">
            <w:pPr>
              <w:rPr>
                <w:b/>
                <w:bCs/>
              </w:rPr>
            </w:pPr>
            <w:r>
              <w:rPr>
                <w:b/>
                <w:bCs/>
              </w:rPr>
              <w:t>Stage</w:t>
            </w:r>
          </w:p>
        </w:tc>
        <w:tc>
          <w:tcPr>
            <w:tcW w:w="4310" w:type="dxa"/>
          </w:tcPr>
          <w:p w14:paraId="76E54631" w14:textId="77777777" w:rsidR="002A36CD" w:rsidRDefault="002A36CD" w:rsidP="006632D7">
            <w:pPr>
              <w:rPr>
                <w:b/>
                <w:bCs/>
              </w:rPr>
            </w:pPr>
            <w:r>
              <w:rPr>
                <w:b/>
                <w:bCs/>
              </w:rPr>
              <w:t>Date</w:t>
            </w:r>
          </w:p>
          <w:p w14:paraId="54C2ABC7" w14:textId="77777777" w:rsidR="002A36CD" w:rsidRDefault="002A36CD" w:rsidP="006632D7">
            <w:pPr>
              <w:rPr>
                <w:b/>
                <w:bCs/>
              </w:rPr>
            </w:pPr>
          </w:p>
        </w:tc>
      </w:tr>
      <w:tr w:rsidR="002A36CD" w14:paraId="3F955E0C" w14:textId="77777777" w:rsidTr="006632D7">
        <w:tc>
          <w:tcPr>
            <w:tcW w:w="4320" w:type="dxa"/>
          </w:tcPr>
          <w:p w14:paraId="2A6DDACD" w14:textId="77777777" w:rsidR="002A36CD" w:rsidRDefault="002A36CD" w:rsidP="006632D7">
            <w:pPr>
              <w:rPr>
                <w:b/>
                <w:bCs/>
              </w:rPr>
            </w:pPr>
            <w:r w:rsidRPr="00FC2879">
              <w:t>Application window opens</w:t>
            </w:r>
          </w:p>
        </w:tc>
        <w:tc>
          <w:tcPr>
            <w:tcW w:w="4310" w:type="dxa"/>
          </w:tcPr>
          <w:p w14:paraId="536FA48B" w14:textId="77777777" w:rsidR="002A36CD" w:rsidRDefault="002A36CD" w:rsidP="006632D7">
            <w:r w:rsidRPr="00FC2879">
              <w:t>12 January 2026</w:t>
            </w:r>
          </w:p>
          <w:p w14:paraId="7D083991" w14:textId="77777777" w:rsidR="002A36CD" w:rsidRDefault="002A36CD" w:rsidP="006632D7">
            <w:pPr>
              <w:rPr>
                <w:b/>
                <w:bCs/>
              </w:rPr>
            </w:pPr>
          </w:p>
        </w:tc>
      </w:tr>
      <w:tr w:rsidR="002A36CD" w14:paraId="07BC42DA" w14:textId="77777777" w:rsidTr="006632D7">
        <w:tc>
          <w:tcPr>
            <w:tcW w:w="4320" w:type="dxa"/>
          </w:tcPr>
          <w:p w14:paraId="6045BB43" w14:textId="77777777" w:rsidR="002A36CD" w:rsidRDefault="002A36CD" w:rsidP="006632D7">
            <w:pPr>
              <w:rPr>
                <w:b/>
                <w:bCs/>
              </w:rPr>
            </w:pPr>
            <w:r w:rsidRPr="00FC2879">
              <w:t>Application deadline</w:t>
            </w:r>
          </w:p>
        </w:tc>
        <w:tc>
          <w:tcPr>
            <w:tcW w:w="4310" w:type="dxa"/>
          </w:tcPr>
          <w:p w14:paraId="6E2DEF6D" w14:textId="77777777" w:rsidR="002A36CD" w:rsidRDefault="002A36CD" w:rsidP="006632D7">
            <w:r w:rsidRPr="00FC2879">
              <w:t>1:00 pm, 2 March 2026</w:t>
            </w:r>
          </w:p>
          <w:p w14:paraId="73470CA0" w14:textId="77777777" w:rsidR="002A36CD" w:rsidRDefault="002A36CD" w:rsidP="006632D7">
            <w:pPr>
              <w:rPr>
                <w:b/>
                <w:bCs/>
              </w:rPr>
            </w:pPr>
          </w:p>
        </w:tc>
      </w:tr>
      <w:tr w:rsidR="002A36CD" w14:paraId="5444298A" w14:textId="77777777" w:rsidTr="006632D7">
        <w:tc>
          <w:tcPr>
            <w:tcW w:w="4320" w:type="dxa"/>
          </w:tcPr>
          <w:p w14:paraId="5C5D47E3" w14:textId="77777777" w:rsidR="002A36CD" w:rsidRDefault="002A36CD" w:rsidP="006632D7">
            <w:pPr>
              <w:rPr>
                <w:b/>
                <w:bCs/>
              </w:rPr>
            </w:pPr>
            <w:r w:rsidRPr="00FC2879">
              <w:t>Interview invitations issued</w:t>
            </w:r>
            <w:r w:rsidRPr="00FC2879">
              <w:tab/>
            </w:r>
          </w:p>
        </w:tc>
        <w:tc>
          <w:tcPr>
            <w:tcW w:w="4310" w:type="dxa"/>
          </w:tcPr>
          <w:p w14:paraId="370CFD1C" w14:textId="5CBA471E" w:rsidR="002A36CD" w:rsidRDefault="00435368" w:rsidP="006632D7">
            <w:r>
              <w:t>Late April 2026</w:t>
            </w:r>
          </w:p>
          <w:p w14:paraId="4C4D8069" w14:textId="6E841A34" w:rsidR="00812C8E" w:rsidRDefault="00812C8E" w:rsidP="006632D7">
            <w:pPr>
              <w:rPr>
                <w:b/>
                <w:bCs/>
              </w:rPr>
            </w:pPr>
          </w:p>
        </w:tc>
      </w:tr>
      <w:tr w:rsidR="002A36CD" w14:paraId="68DA27C3" w14:textId="77777777" w:rsidTr="006632D7">
        <w:tc>
          <w:tcPr>
            <w:tcW w:w="4320" w:type="dxa"/>
          </w:tcPr>
          <w:p w14:paraId="55FA7FED" w14:textId="22397DE4" w:rsidR="002A36CD" w:rsidRDefault="002A36CD" w:rsidP="006632D7">
            <w:pPr>
              <w:rPr>
                <w:b/>
                <w:bCs/>
              </w:rPr>
            </w:pPr>
            <w:r w:rsidRPr="00FC2879">
              <w:t>Interviews</w:t>
            </w:r>
            <w:r>
              <w:t xml:space="preserve"> </w:t>
            </w:r>
          </w:p>
        </w:tc>
        <w:tc>
          <w:tcPr>
            <w:tcW w:w="4310" w:type="dxa"/>
          </w:tcPr>
          <w:p w14:paraId="604597B7" w14:textId="3C429DB0" w:rsidR="002A36CD" w:rsidRDefault="00812C8E" w:rsidP="006632D7">
            <w:pPr>
              <w:rPr>
                <w:b/>
                <w:bCs/>
              </w:rPr>
            </w:pPr>
            <w:r w:rsidRPr="00812C8E">
              <w:t>Set by member department - Must happen by 15 May 2026</w:t>
            </w:r>
          </w:p>
        </w:tc>
      </w:tr>
      <w:tr w:rsidR="002A36CD" w14:paraId="3B19DA61" w14:textId="77777777" w:rsidTr="006632D7">
        <w:tc>
          <w:tcPr>
            <w:tcW w:w="4320" w:type="dxa"/>
          </w:tcPr>
          <w:p w14:paraId="14344D58" w14:textId="77777777" w:rsidR="002A36CD" w:rsidRDefault="002A36CD" w:rsidP="006632D7">
            <w:pPr>
              <w:rPr>
                <w:b/>
                <w:bCs/>
              </w:rPr>
            </w:pPr>
            <w:r w:rsidRPr="00FC2879">
              <w:t>Fellowship start date</w:t>
            </w:r>
            <w:r w:rsidRPr="00FC2879">
              <w:tab/>
            </w:r>
          </w:p>
        </w:tc>
        <w:tc>
          <w:tcPr>
            <w:tcW w:w="4310" w:type="dxa"/>
          </w:tcPr>
          <w:p w14:paraId="3587D2DB" w14:textId="77777777" w:rsidR="002A36CD" w:rsidRDefault="002A36CD" w:rsidP="006632D7">
            <w:r w:rsidRPr="00FC2879">
              <w:t>No later than 1 October 2026</w:t>
            </w:r>
          </w:p>
          <w:p w14:paraId="36B0E3A4" w14:textId="77777777" w:rsidR="002A36CD" w:rsidRDefault="002A36CD" w:rsidP="006632D7">
            <w:pPr>
              <w:rPr>
                <w:b/>
                <w:bCs/>
              </w:rPr>
            </w:pPr>
          </w:p>
        </w:tc>
      </w:tr>
    </w:tbl>
    <w:p w14:paraId="0E7E66C6" w14:textId="77777777" w:rsidR="002A36CD" w:rsidRDefault="002A36CD" w:rsidP="009D47E8">
      <w:pPr>
        <w:rPr>
          <w:rFonts w:cs="Calibri"/>
          <w:b/>
          <w:bCs/>
        </w:rPr>
      </w:pPr>
    </w:p>
    <w:p w14:paraId="2CBB3C57" w14:textId="3A69F8E6" w:rsidR="009D47E8" w:rsidRPr="00111D1D" w:rsidRDefault="009D47E8" w:rsidP="009D47E8">
      <w:pPr>
        <w:rPr>
          <w:rFonts w:cs="Calibri"/>
          <w:b/>
          <w:bCs/>
        </w:rPr>
      </w:pPr>
      <w:r w:rsidRPr="00111D1D">
        <w:rPr>
          <w:rFonts w:cs="Calibri"/>
          <w:b/>
          <w:bCs/>
        </w:rPr>
        <w:t>Support for Applicants</w:t>
      </w:r>
    </w:p>
    <w:p w14:paraId="2606A9D4" w14:textId="1A723711" w:rsidR="009D47E8" w:rsidRPr="00111D1D" w:rsidRDefault="009D47E8" w:rsidP="009D47E8">
      <w:pPr>
        <w:rPr>
          <w:rFonts w:cs="Calibri"/>
        </w:rPr>
      </w:pPr>
      <w:r w:rsidRPr="00111D1D">
        <w:rPr>
          <w:rFonts w:cs="Calibri"/>
        </w:rPr>
        <w:t>Each SPCR member department has</w:t>
      </w:r>
      <w:r w:rsidR="00600B29" w:rsidRPr="00111D1D">
        <w:rPr>
          <w:rFonts w:cs="Calibri"/>
        </w:rPr>
        <w:t xml:space="preserve"> a</w:t>
      </w:r>
      <w:r w:rsidRPr="00111D1D">
        <w:rPr>
          <w:rFonts w:cs="Calibri"/>
        </w:rPr>
        <w:t xml:space="preserve"> </w:t>
      </w:r>
      <w:hyperlink r:id="rId14" w:anchor="bristol" w:history="1">
        <w:r w:rsidR="00321282" w:rsidRPr="00321282">
          <w:rPr>
            <w:rStyle w:val="Hyperlink"/>
            <w:rFonts w:cs="Calibri"/>
          </w:rPr>
          <w:t>Training Lead</w:t>
        </w:r>
      </w:hyperlink>
      <w:r w:rsidRPr="00111D1D">
        <w:rPr>
          <w:rFonts w:cs="Calibri"/>
        </w:rPr>
        <w:t xml:space="preserve"> who can help you develop your proposal and connect you with relevant expertise. </w:t>
      </w:r>
    </w:p>
    <w:p w14:paraId="68ADE3C8" w14:textId="77777777" w:rsidR="009D47E8" w:rsidRPr="00111D1D" w:rsidRDefault="009D47E8" w:rsidP="009D47E8">
      <w:pPr>
        <w:rPr>
          <w:rFonts w:cs="Calibri"/>
        </w:rPr>
      </w:pPr>
      <w:r w:rsidRPr="00111D1D">
        <w:rPr>
          <w:rFonts w:cs="Calibri"/>
        </w:rPr>
        <w:t>We strongly encourage applicants to speak with:</w:t>
      </w:r>
    </w:p>
    <w:p w14:paraId="72087194" w14:textId="77777777" w:rsidR="009D47E8" w:rsidRPr="00111D1D" w:rsidRDefault="009D47E8" w:rsidP="009D47E8">
      <w:pPr>
        <w:numPr>
          <w:ilvl w:val="0"/>
          <w:numId w:val="30"/>
        </w:numPr>
        <w:rPr>
          <w:rFonts w:cs="Calibri"/>
        </w:rPr>
      </w:pPr>
      <w:r w:rsidRPr="00111D1D">
        <w:rPr>
          <w:rFonts w:cs="Calibri"/>
        </w:rPr>
        <w:t>a potential supervisor at their preferred SPCR host department,</w:t>
      </w:r>
    </w:p>
    <w:p w14:paraId="48FA399E" w14:textId="77777777" w:rsidR="009D47E8" w:rsidRPr="00111D1D" w:rsidRDefault="009D47E8" w:rsidP="009D47E8">
      <w:pPr>
        <w:numPr>
          <w:ilvl w:val="0"/>
          <w:numId w:val="30"/>
        </w:numPr>
        <w:rPr>
          <w:rFonts w:cs="Calibri"/>
        </w:rPr>
      </w:pPr>
      <w:r w:rsidRPr="00111D1D">
        <w:rPr>
          <w:rFonts w:cs="Calibri"/>
        </w:rPr>
        <w:t>the local PPI lead,</w:t>
      </w:r>
    </w:p>
    <w:p w14:paraId="336DC7D3" w14:textId="71153A13" w:rsidR="00433B99" w:rsidRPr="00111D1D" w:rsidRDefault="009D47E8" w:rsidP="00111D1D">
      <w:pPr>
        <w:numPr>
          <w:ilvl w:val="0"/>
          <w:numId w:val="30"/>
        </w:numPr>
        <w:rPr>
          <w:rFonts w:cs="Calibri"/>
        </w:rPr>
      </w:pPr>
      <w:r w:rsidRPr="00111D1D">
        <w:rPr>
          <w:rFonts w:cs="Calibri"/>
        </w:rPr>
        <w:t xml:space="preserve">relevant </w:t>
      </w:r>
      <w:r w:rsidR="00600B29" w:rsidRPr="00111D1D">
        <w:rPr>
          <w:rFonts w:cs="Calibri"/>
        </w:rPr>
        <w:t>stakeholders</w:t>
      </w:r>
    </w:p>
    <w:p w14:paraId="2E72E8B0" w14:textId="7C882387" w:rsidR="009D47E8" w:rsidRPr="00111D1D" w:rsidRDefault="009D47E8" w:rsidP="009D47E8">
      <w:pPr>
        <w:rPr>
          <w:rFonts w:cs="Calibri"/>
          <w:b/>
          <w:bCs/>
        </w:rPr>
      </w:pPr>
      <w:r w:rsidRPr="00111D1D">
        <w:rPr>
          <w:rFonts w:cs="Calibri"/>
          <w:b/>
          <w:bCs/>
        </w:rPr>
        <w:t>Contact</w:t>
      </w:r>
    </w:p>
    <w:p w14:paraId="095566CE" w14:textId="1553A9A0" w:rsidR="009D47E8" w:rsidRPr="00111D1D" w:rsidRDefault="009D47E8" w:rsidP="009D47E8">
      <w:pPr>
        <w:rPr>
          <w:rFonts w:cs="Calibri"/>
        </w:rPr>
      </w:pPr>
      <w:r w:rsidRPr="00111D1D">
        <w:rPr>
          <w:rFonts w:cs="Calibri"/>
        </w:rPr>
        <w:t>For queries about eligibility or the application process, please contact the SPCR Team:</w:t>
      </w:r>
      <w:r w:rsidRPr="00111D1D">
        <w:rPr>
          <w:rFonts w:cs="Calibri"/>
        </w:rPr>
        <w:br/>
      </w:r>
      <w:hyperlink r:id="rId15" w:history="1">
        <w:r w:rsidRPr="00111D1D">
          <w:rPr>
            <w:rStyle w:val="Hyperlink"/>
            <w:rFonts w:cs="Calibri"/>
          </w:rPr>
          <w:t>spcr@keele.ac.uk</w:t>
        </w:r>
      </w:hyperlink>
      <w:r w:rsidR="00F36834" w:rsidRPr="00111D1D">
        <w:rPr>
          <w:rFonts w:cs="Calibri"/>
          <w:b/>
          <w:bCs/>
        </w:rPr>
        <w:t xml:space="preserve"> </w:t>
      </w:r>
    </w:p>
    <w:p w14:paraId="6A54EBAA" w14:textId="77777777" w:rsidR="009D47E8" w:rsidRPr="00111D1D" w:rsidRDefault="009D47E8">
      <w:pPr>
        <w:rPr>
          <w:rFonts w:cs="Calibri"/>
        </w:rPr>
      </w:pPr>
    </w:p>
    <w:sectPr w:rsidR="009D47E8" w:rsidRPr="00111D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ABB"/>
    <w:multiLevelType w:val="hybridMultilevel"/>
    <w:tmpl w:val="402E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079A9"/>
    <w:multiLevelType w:val="multilevel"/>
    <w:tmpl w:val="561CE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F142C"/>
    <w:multiLevelType w:val="multilevel"/>
    <w:tmpl w:val="2AE0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13D9E"/>
    <w:multiLevelType w:val="multilevel"/>
    <w:tmpl w:val="4412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E399C"/>
    <w:multiLevelType w:val="multilevel"/>
    <w:tmpl w:val="9DD0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010F0"/>
    <w:multiLevelType w:val="multilevel"/>
    <w:tmpl w:val="D3DE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E5DD5"/>
    <w:multiLevelType w:val="multilevel"/>
    <w:tmpl w:val="22A4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C4D35"/>
    <w:multiLevelType w:val="multilevel"/>
    <w:tmpl w:val="5534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571F9"/>
    <w:multiLevelType w:val="multilevel"/>
    <w:tmpl w:val="5F12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56D6E"/>
    <w:multiLevelType w:val="multilevel"/>
    <w:tmpl w:val="ECA6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67BB5"/>
    <w:multiLevelType w:val="multilevel"/>
    <w:tmpl w:val="BA1402B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15AC4"/>
    <w:multiLevelType w:val="multilevel"/>
    <w:tmpl w:val="B3DE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83654"/>
    <w:multiLevelType w:val="multilevel"/>
    <w:tmpl w:val="C28C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80377"/>
    <w:multiLevelType w:val="multilevel"/>
    <w:tmpl w:val="23F6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36330"/>
    <w:multiLevelType w:val="hybridMultilevel"/>
    <w:tmpl w:val="F55A0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52719D"/>
    <w:multiLevelType w:val="multilevel"/>
    <w:tmpl w:val="BFA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B5A62"/>
    <w:multiLevelType w:val="multilevel"/>
    <w:tmpl w:val="6F2C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D4C41"/>
    <w:multiLevelType w:val="multilevel"/>
    <w:tmpl w:val="373A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C4455"/>
    <w:multiLevelType w:val="multilevel"/>
    <w:tmpl w:val="5EF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75C1C"/>
    <w:multiLevelType w:val="multilevel"/>
    <w:tmpl w:val="ED86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3779D"/>
    <w:multiLevelType w:val="multilevel"/>
    <w:tmpl w:val="0C4C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C135A"/>
    <w:multiLevelType w:val="multilevel"/>
    <w:tmpl w:val="1E4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83B2C"/>
    <w:multiLevelType w:val="multilevel"/>
    <w:tmpl w:val="8D68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2458F"/>
    <w:multiLevelType w:val="multilevel"/>
    <w:tmpl w:val="A1F0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D1092"/>
    <w:multiLevelType w:val="multilevel"/>
    <w:tmpl w:val="AB88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C356A"/>
    <w:multiLevelType w:val="multilevel"/>
    <w:tmpl w:val="BFA4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FF6042"/>
    <w:multiLevelType w:val="multilevel"/>
    <w:tmpl w:val="1468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272FA5"/>
    <w:multiLevelType w:val="multilevel"/>
    <w:tmpl w:val="2EF2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E1510"/>
    <w:multiLevelType w:val="multilevel"/>
    <w:tmpl w:val="8CAAB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51C8B"/>
    <w:multiLevelType w:val="multilevel"/>
    <w:tmpl w:val="9034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6104D"/>
    <w:multiLevelType w:val="hybridMultilevel"/>
    <w:tmpl w:val="FE801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7E55E0"/>
    <w:multiLevelType w:val="multilevel"/>
    <w:tmpl w:val="967C9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C20348"/>
    <w:multiLevelType w:val="multilevel"/>
    <w:tmpl w:val="423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033551">
    <w:abstractNumId w:val="5"/>
  </w:num>
  <w:num w:numId="2" w16cid:durableId="1063797395">
    <w:abstractNumId w:val="27"/>
  </w:num>
  <w:num w:numId="3" w16cid:durableId="1067411369">
    <w:abstractNumId w:val="20"/>
  </w:num>
  <w:num w:numId="4" w16cid:durableId="1095056338">
    <w:abstractNumId w:val="4"/>
  </w:num>
  <w:num w:numId="5" w16cid:durableId="1124154814">
    <w:abstractNumId w:val="15"/>
  </w:num>
  <w:num w:numId="6" w16cid:durableId="1204710208">
    <w:abstractNumId w:val="6"/>
  </w:num>
  <w:num w:numId="7" w16cid:durableId="1220632171">
    <w:abstractNumId w:val="19"/>
  </w:num>
  <w:num w:numId="8" w16cid:durableId="1306350424">
    <w:abstractNumId w:val="9"/>
  </w:num>
  <w:num w:numId="9" w16cid:durableId="1316953913">
    <w:abstractNumId w:val="32"/>
  </w:num>
  <w:num w:numId="10" w16cid:durableId="1372653449">
    <w:abstractNumId w:val="1"/>
  </w:num>
  <w:num w:numId="11" w16cid:durableId="1551187963">
    <w:abstractNumId w:val="7"/>
  </w:num>
  <w:num w:numId="12" w16cid:durableId="1559779446">
    <w:abstractNumId w:val="13"/>
  </w:num>
  <w:num w:numId="13" w16cid:durableId="1583879388">
    <w:abstractNumId w:val="31"/>
  </w:num>
  <w:num w:numId="14" w16cid:durableId="162744259">
    <w:abstractNumId w:val="8"/>
  </w:num>
  <w:num w:numId="15" w16cid:durableId="1638758752">
    <w:abstractNumId w:val="18"/>
  </w:num>
  <w:num w:numId="16" w16cid:durableId="1649699663">
    <w:abstractNumId w:val="26"/>
  </w:num>
  <w:num w:numId="17" w16cid:durableId="1758598044">
    <w:abstractNumId w:val="23"/>
  </w:num>
  <w:num w:numId="18" w16cid:durableId="18824949">
    <w:abstractNumId w:val="30"/>
  </w:num>
  <w:num w:numId="19" w16cid:durableId="1903633489">
    <w:abstractNumId w:val="28"/>
  </w:num>
  <w:num w:numId="20" w16cid:durableId="1976912751">
    <w:abstractNumId w:val="11"/>
  </w:num>
  <w:num w:numId="21" w16cid:durableId="1980839011">
    <w:abstractNumId w:val="17"/>
  </w:num>
  <w:num w:numId="22" w16cid:durableId="1986160537">
    <w:abstractNumId w:val="29"/>
  </w:num>
  <w:num w:numId="23" w16cid:durableId="2057846585">
    <w:abstractNumId w:val="16"/>
  </w:num>
  <w:num w:numId="24" w16cid:durableId="2097630787">
    <w:abstractNumId w:val="3"/>
  </w:num>
  <w:num w:numId="25" w16cid:durableId="250430813">
    <w:abstractNumId w:val="25"/>
  </w:num>
  <w:num w:numId="26" w16cid:durableId="456022909">
    <w:abstractNumId w:val="2"/>
  </w:num>
  <w:num w:numId="27" w16cid:durableId="640885903">
    <w:abstractNumId w:val="10"/>
  </w:num>
  <w:num w:numId="28" w16cid:durableId="655569740">
    <w:abstractNumId w:val="14"/>
  </w:num>
  <w:num w:numId="29" w16cid:durableId="842162479">
    <w:abstractNumId w:val="24"/>
  </w:num>
  <w:num w:numId="30" w16cid:durableId="895051621">
    <w:abstractNumId w:val="21"/>
  </w:num>
  <w:num w:numId="31" w16cid:durableId="997879842">
    <w:abstractNumId w:val="22"/>
  </w:num>
  <w:num w:numId="32" w16cid:durableId="999187357">
    <w:abstractNumId w:val="12"/>
  </w:num>
  <w:num w:numId="33" w16cid:durableId="190455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E8"/>
    <w:rsid w:val="00022EC4"/>
    <w:rsid w:val="000339B4"/>
    <w:rsid w:val="00036549"/>
    <w:rsid w:val="00047757"/>
    <w:rsid w:val="00055312"/>
    <w:rsid w:val="00074962"/>
    <w:rsid w:val="000931A2"/>
    <w:rsid w:val="000B3BE9"/>
    <w:rsid w:val="000B6EA4"/>
    <w:rsid w:val="000E1C24"/>
    <w:rsid w:val="000E459E"/>
    <w:rsid w:val="000F082C"/>
    <w:rsid w:val="000F3248"/>
    <w:rsid w:val="00111D1D"/>
    <w:rsid w:val="00125C4C"/>
    <w:rsid w:val="00132EE3"/>
    <w:rsid w:val="001330FA"/>
    <w:rsid w:val="00163BD9"/>
    <w:rsid w:val="00184942"/>
    <w:rsid w:val="00195948"/>
    <w:rsid w:val="001B4AD9"/>
    <w:rsid w:val="001B65FC"/>
    <w:rsid w:val="001C6531"/>
    <w:rsid w:val="00221395"/>
    <w:rsid w:val="00223629"/>
    <w:rsid w:val="00232804"/>
    <w:rsid w:val="002338D2"/>
    <w:rsid w:val="00252227"/>
    <w:rsid w:val="002603AB"/>
    <w:rsid w:val="00261BD5"/>
    <w:rsid w:val="002622A7"/>
    <w:rsid w:val="00264B8C"/>
    <w:rsid w:val="0027770D"/>
    <w:rsid w:val="00280A8E"/>
    <w:rsid w:val="00287C9A"/>
    <w:rsid w:val="002A36CD"/>
    <w:rsid w:val="002C4809"/>
    <w:rsid w:val="002D2A60"/>
    <w:rsid w:val="002F4440"/>
    <w:rsid w:val="00317784"/>
    <w:rsid w:val="00320554"/>
    <w:rsid w:val="00320F20"/>
    <w:rsid w:val="00321282"/>
    <w:rsid w:val="00324A16"/>
    <w:rsid w:val="0034192B"/>
    <w:rsid w:val="00361ACB"/>
    <w:rsid w:val="003708DA"/>
    <w:rsid w:val="00375DC3"/>
    <w:rsid w:val="00380574"/>
    <w:rsid w:val="003A0F65"/>
    <w:rsid w:val="003B3F75"/>
    <w:rsid w:val="003D3E9A"/>
    <w:rsid w:val="003D3F7E"/>
    <w:rsid w:val="003F5934"/>
    <w:rsid w:val="004003EA"/>
    <w:rsid w:val="0042298E"/>
    <w:rsid w:val="00433B99"/>
    <w:rsid w:val="00435368"/>
    <w:rsid w:val="00451410"/>
    <w:rsid w:val="004826B8"/>
    <w:rsid w:val="004828E8"/>
    <w:rsid w:val="00483897"/>
    <w:rsid w:val="004B38AF"/>
    <w:rsid w:val="004B52A2"/>
    <w:rsid w:val="004C3705"/>
    <w:rsid w:val="004F2521"/>
    <w:rsid w:val="00504B94"/>
    <w:rsid w:val="0053470A"/>
    <w:rsid w:val="0056760F"/>
    <w:rsid w:val="005703B8"/>
    <w:rsid w:val="00575664"/>
    <w:rsid w:val="00592897"/>
    <w:rsid w:val="005939AE"/>
    <w:rsid w:val="0059424C"/>
    <w:rsid w:val="005B5013"/>
    <w:rsid w:val="005D3626"/>
    <w:rsid w:val="005D68A1"/>
    <w:rsid w:val="005E7A63"/>
    <w:rsid w:val="005F0D7F"/>
    <w:rsid w:val="00600B29"/>
    <w:rsid w:val="00612E9D"/>
    <w:rsid w:val="006138BD"/>
    <w:rsid w:val="0062153F"/>
    <w:rsid w:val="00625A23"/>
    <w:rsid w:val="0063287D"/>
    <w:rsid w:val="006704F7"/>
    <w:rsid w:val="00696C99"/>
    <w:rsid w:val="006E5B6B"/>
    <w:rsid w:val="006E6989"/>
    <w:rsid w:val="006F1CB5"/>
    <w:rsid w:val="006F5077"/>
    <w:rsid w:val="00713D4E"/>
    <w:rsid w:val="00720E29"/>
    <w:rsid w:val="00725EC5"/>
    <w:rsid w:val="00732ACC"/>
    <w:rsid w:val="00743C7D"/>
    <w:rsid w:val="00752D99"/>
    <w:rsid w:val="00784871"/>
    <w:rsid w:val="00787DF0"/>
    <w:rsid w:val="007945C2"/>
    <w:rsid w:val="007A0E2B"/>
    <w:rsid w:val="007C2638"/>
    <w:rsid w:val="007D4596"/>
    <w:rsid w:val="007E52F0"/>
    <w:rsid w:val="007F505F"/>
    <w:rsid w:val="00812C8E"/>
    <w:rsid w:val="00812D57"/>
    <w:rsid w:val="008360B8"/>
    <w:rsid w:val="0084108E"/>
    <w:rsid w:val="00846090"/>
    <w:rsid w:val="00853A53"/>
    <w:rsid w:val="00860BFD"/>
    <w:rsid w:val="00866674"/>
    <w:rsid w:val="00866D26"/>
    <w:rsid w:val="00870F3E"/>
    <w:rsid w:val="00885AD0"/>
    <w:rsid w:val="00890330"/>
    <w:rsid w:val="00891EE7"/>
    <w:rsid w:val="008A4217"/>
    <w:rsid w:val="008C458D"/>
    <w:rsid w:val="008D53D4"/>
    <w:rsid w:val="008F3B19"/>
    <w:rsid w:val="00915805"/>
    <w:rsid w:val="009361C8"/>
    <w:rsid w:val="00937F1A"/>
    <w:rsid w:val="00946E05"/>
    <w:rsid w:val="00950E32"/>
    <w:rsid w:val="009541B5"/>
    <w:rsid w:val="00957F96"/>
    <w:rsid w:val="00993DE6"/>
    <w:rsid w:val="009A3205"/>
    <w:rsid w:val="009C518F"/>
    <w:rsid w:val="009D47E8"/>
    <w:rsid w:val="009E4CEF"/>
    <w:rsid w:val="009F55F6"/>
    <w:rsid w:val="00A12BA9"/>
    <w:rsid w:val="00A24DE2"/>
    <w:rsid w:val="00A603A5"/>
    <w:rsid w:val="00A61161"/>
    <w:rsid w:val="00A661F2"/>
    <w:rsid w:val="00A85587"/>
    <w:rsid w:val="00A97F08"/>
    <w:rsid w:val="00AA45C2"/>
    <w:rsid w:val="00AC2955"/>
    <w:rsid w:val="00AD0AA7"/>
    <w:rsid w:val="00AD322F"/>
    <w:rsid w:val="00AD5043"/>
    <w:rsid w:val="00B005F3"/>
    <w:rsid w:val="00B03708"/>
    <w:rsid w:val="00B166D2"/>
    <w:rsid w:val="00B401BE"/>
    <w:rsid w:val="00B43C82"/>
    <w:rsid w:val="00B57367"/>
    <w:rsid w:val="00B6317E"/>
    <w:rsid w:val="00B647BA"/>
    <w:rsid w:val="00B653A4"/>
    <w:rsid w:val="00BB3C5B"/>
    <w:rsid w:val="00BB6231"/>
    <w:rsid w:val="00BB6DD0"/>
    <w:rsid w:val="00BD0877"/>
    <w:rsid w:val="00C041E0"/>
    <w:rsid w:val="00C51B72"/>
    <w:rsid w:val="00C5269F"/>
    <w:rsid w:val="00C8129D"/>
    <w:rsid w:val="00C84A18"/>
    <w:rsid w:val="00C853FF"/>
    <w:rsid w:val="00C86563"/>
    <w:rsid w:val="00C91AB6"/>
    <w:rsid w:val="00CA7300"/>
    <w:rsid w:val="00CE20E2"/>
    <w:rsid w:val="00CE51D3"/>
    <w:rsid w:val="00CE6942"/>
    <w:rsid w:val="00CF5EA5"/>
    <w:rsid w:val="00CF68C1"/>
    <w:rsid w:val="00CF7491"/>
    <w:rsid w:val="00D07062"/>
    <w:rsid w:val="00D25A0F"/>
    <w:rsid w:val="00D31DE4"/>
    <w:rsid w:val="00D54D1C"/>
    <w:rsid w:val="00D570B1"/>
    <w:rsid w:val="00D84A3D"/>
    <w:rsid w:val="00DD7CB6"/>
    <w:rsid w:val="00DF34E7"/>
    <w:rsid w:val="00DF554D"/>
    <w:rsid w:val="00E30C6A"/>
    <w:rsid w:val="00E4453D"/>
    <w:rsid w:val="00E600B1"/>
    <w:rsid w:val="00E71BF1"/>
    <w:rsid w:val="00E77BD4"/>
    <w:rsid w:val="00E82CDD"/>
    <w:rsid w:val="00ED577E"/>
    <w:rsid w:val="00EF3EFD"/>
    <w:rsid w:val="00F05FE9"/>
    <w:rsid w:val="00F2511A"/>
    <w:rsid w:val="00F25545"/>
    <w:rsid w:val="00F36834"/>
    <w:rsid w:val="00F37F1F"/>
    <w:rsid w:val="00F57056"/>
    <w:rsid w:val="00F759A8"/>
    <w:rsid w:val="00F76A0B"/>
    <w:rsid w:val="00F802C7"/>
    <w:rsid w:val="00F8760B"/>
    <w:rsid w:val="00FA37B5"/>
    <w:rsid w:val="00FB0EFC"/>
    <w:rsid w:val="00FB77FA"/>
    <w:rsid w:val="00FC190D"/>
    <w:rsid w:val="00FD36F5"/>
    <w:rsid w:val="00FD76BE"/>
    <w:rsid w:val="00FF0D06"/>
    <w:rsid w:val="0140CF0A"/>
    <w:rsid w:val="02BE3886"/>
    <w:rsid w:val="02CDA05D"/>
    <w:rsid w:val="0488CAFD"/>
    <w:rsid w:val="068C0890"/>
    <w:rsid w:val="08656DC3"/>
    <w:rsid w:val="09344288"/>
    <w:rsid w:val="0BE3D74D"/>
    <w:rsid w:val="0C32952B"/>
    <w:rsid w:val="107CA064"/>
    <w:rsid w:val="12AE778C"/>
    <w:rsid w:val="152E492A"/>
    <w:rsid w:val="167F0292"/>
    <w:rsid w:val="181256C8"/>
    <w:rsid w:val="1953FFAC"/>
    <w:rsid w:val="1D8E2811"/>
    <w:rsid w:val="235EB06C"/>
    <w:rsid w:val="23AEFAF4"/>
    <w:rsid w:val="24FF1398"/>
    <w:rsid w:val="27627034"/>
    <w:rsid w:val="28ECD102"/>
    <w:rsid w:val="297C4385"/>
    <w:rsid w:val="2C9FA3FC"/>
    <w:rsid w:val="2E3249AE"/>
    <w:rsid w:val="2E4CE0A5"/>
    <w:rsid w:val="2E6A1C4A"/>
    <w:rsid w:val="2F85AEE3"/>
    <w:rsid w:val="320EA980"/>
    <w:rsid w:val="358E063D"/>
    <w:rsid w:val="35B52300"/>
    <w:rsid w:val="3768F50A"/>
    <w:rsid w:val="388DEEC3"/>
    <w:rsid w:val="39B5FD85"/>
    <w:rsid w:val="3C414B1F"/>
    <w:rsid w:val="3D52E7E6"/>
    <w:rsid w:val="3E411402"/>
    <w:rsid w:val="3E4C8667"/>
    <w:rsid w:val="3F7B9903"/>
    <w:rsid w:val="4036C2DE"/>
    <w:rsid w:val="41ECDBFF"/>
    <w:rsid w:val="448E910E"/>
    <w:rsid w:val="458346B0"/>
    <w:rsid w:val="46E33738"/>
    <w:rsid w:val="49D17487"/>
    <w:rsid w:val="4AB0B30A"/>
    <w:rsid w:val="4DA4DF72"/>
    <w:rsid w:val="4F59621C"/>
    <w:rsid w:val="4F5F4829"/>
    <w:rsid w:val="512F4D0C"/>
    <w:rsid w:val="521C655A"/>
    <w:rsid w:val="53FE2499"/>
    <w:rsid w:val="5439BAF6"/>
    <w:rsid w:val="561F5E5E"/>
    <w:rsid w:val="59EE6737"/>
    <w:rsid w:val="5A71BCEA"/>
    <w:rsid w:val="5CB6352C"/>
    <w:rsid w:val="5DE77C54"/>
    <w:rsid w:val="5ED84CBE"/>
    <w:rsid w:val="633D47D4"/>
    <w:rsid w:val="64FB58F8"/>
    <w:rsid w:val="651DE040"/>
    <w:rsid w:val="66CDE5BD"/>
    <w:rsid w:val="679DD6EF"/>
    <w:rsid w:val="6D1602F8"/>
    <w:rsid w:val="6D52F817"/>
    <w:rsid w:val="6D751978"/>
    <w:rsid w:val="732581C4"/>
    <w:rsid w:val="780F0ECA"/>
    <w:rsid w:val="7A40C848"/>
    <w:rsid w:val="7AD93789"/>
    <w:rsid w:val="7B5C2C01"/>
    <w:rsid w:val="7B9194AB"/>
    <w:rsid w:val="7E0A5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3958"/>
  <w15:chartTrackingRefBased/>
  <w15:docId w15:val="{9FDFEB9E-39E3-42AE-A8F2-B9D965D6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7E8"/>
    <w:rPr>
      <w:rFonts w:eastAsiaTheme="majorEastAsia" w:cstheme="majorBidi"/>
      <w:color w:val="272727" w:themeColor="text1" w:themeTint="D8"/>
    </w:rPr>
  </w:style>
  <w:style w:type="paragraph" w:styleId="Title">
    <w:name w:val="Title"/>
    <w:basedOn w:val="Normal"/>
    <w:next w:val="Normal"/>
    <w:link w:val="TitleChar"/>
    <w:uiPriority w:val="10"/>
    <w:qFormat/>
    <w:rsid w:val="009D4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7E8"/>
    <w:pPr>
      <w:spacing w:before="160"/>
      <w:jc w:val="center"/>
    </w:pPr>
    <w:rPr>
      <w:i/>
      <w:iCs/>
      <w:color w:val="404040" w:themeColor="text1" w:themeTint="BF"/>
    </w:rPr>
  </w:style>
  <w:style w:type="character" w:customStyle="1" w:styleId="QuoteChar">
    <w:name w:val="Quote Char"/>
    <w:basedOn w:val="DefaultParagraphFont"/>
    <w:link w:val="Quote"/>
    <w:uiPriority w:val="29"/>
    <w:rsid w:val="009D47E8"/>
    <w:rPr>
      <w:i/>
      <w:iCs/>
      <w:color w:val="404040" w:themeColor="text1" w:themeTint="BF"/>
    </w:rPr>
  </w:style>
  <w:style w:type="paragraph" w:styleId="ListParagraph">
    <w:name w:val="List Paragraph"/>
    <w:basedOn w:val="Normal"/>
    <w:uiPriority w:val="34"/>
    <w:qFormat/>
    <w:rsid w:val="009D47E8"/>
    <w:pPr>
      <w:ind w:left="720"/>
      <w:contextualSpacing/>
    </w:pPr>
  </w:style>
  <w:style w:type="character" w:styleId="IntenseEmphasis">
    <w:name w:val="Intense Emphasis"/>
    <w:basedOn w:val="DefaultParagraphFont"/>
    <w:uiPriority w:val="21"/>
    <w:qFormat/>
    <w:rsid w:val="009D47E8"/>
    <w:rPr>
      <w:i/>
      <w:iCs/>
      <w:color w:val="0F4761" w:themeColor="accent1" w:themeShade="BF"/>
    </w:rPr>
  </w:style>
  <w:style w:type="paragraph" w:styleId="IntenseQuote">
    <w:name w:val="Intense Quote"/>
    <w:basedOn w:val="Normal"/>
    <w:next w:val="Normal"/>
    <w:link w:val="IntenseQuoteChar"/>
    <w:uiPriority w:val="30"/>
    <w:qFormat/>
    <w:rsid w:val="009D4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7E8"/>
    <w:rPr>
      <w:i/>
      <w:iCs/>
      <w:color w:val="0F4761" w:themeColor="accent1" w:themeShade="BF"/>
    </w:rPr>
  </w:style>
  <w:style w:type="character" w:styleId="IntenseReference">
    <w:name w:val="Intense Reference"/>
    <w:basedOn w:val="DefaultParagraphFont"/>
    <w:uiPriority w:val="32"/>
    <w:qFormat/>
    <w:rsid w:val="009D47E8"/>
    <w:rPr>
      <w:b/>
      <w:bCs/>
      <w:smallCaps/>
      <w:color w:val="0F4761" w:themeColor="accent1" w:themeShade="BF"/>
      <w:spacing w:val="5"/>
    </w:rPr>
  </w:style>
  <w:style w:type="character" w:styleId="Hyperlink">
    <w:name w:val="Hyperlink"/>
    <w:basedOn w:val="DefaultParagraphFont"/>
    <w:uiPriority w:val="99"/>
    <w:unhideWhenUsed/>
    <w:rsid w:val="009D47E8"/>
    <w:rPr>
      <w:color w:val="467886" w:themeColor="hyperlink"/>
      <w:u w:val="single"/>
    </w:rPr>
  </w:style>
  <w:style w:type="character" w:styleId="UnresolvedMention">
    <w:name w:val="Unresolved Mention"/>
    <w:basedOn w:val="DefaultParagraphFont"/>
    <w:uiPriority w:val="99"/>
    <w:semiHidden/>
    <w:unhideWhenUsed/>
    <w:rsid w:val="009D47E8"/>
    <w:rPr>
      <w:color w:val="605E5C"/>
      <w:shd w:val="clear" w:color="auto" w:fill="E1DFDD"/>
    </w:rPr>
  </w:style>
  <w:style w:type="paragraph" w:styleId="Revision">
    <w:name w:val="Revision"/>
    <w:hidden/>
    <w:uiPriority w:val="99"/>
    <w:semiHidden/>
    <w:rsid w:val="002622A7"/>
    <w:pPr>
      <w:spacing w:after="0" w:line="240" w:lineRule="auto"/>
    </w:pPr>
  </w:style>
  <w:style w:type="character" w:styleId="CommentReference">
    <w:name w:val="annotation reference"/>
    <w:basedOn w:val="DefaultParagraphFont"/>
    <w:uiPriority w:val="99"/>
    <w:semiHidden/>
    <w:unhideWhenUsed/>
    <w:rsid w:val="00E71BF1"/>
    <w:rPr>
      <w:sz w:val="16"/>
      <w:szCs w:val="16"/>
    </w:rPr>
  </w:style>
  <w:style w:type="paragraph" w:styleId="CommentText">
    <w:name w:val="annotation text"/>
    <w:basedOn w:val="Normal"/>
    <w:link w:val="CommentTextChar"/>
    <w:uiPriority w:val="99"/>
    <w:unhideWhenUsed/>
    <w:rsid w:val="00E71BF1"/>
    <w:pPr>
      <w:spacing w:line="240" w:lineRule="auto"/>
    </w:pPr>
    <w:rPr>
      <w:sz w:val="20"/>
      <w:szCs w:val="20"/>
    </w:rPr>
  </w:style>
  <w:style w:type="character" w:customStyle="1" w:styleId="CommentTextChar">
    <w:name w:val="Comment Text Char"/>
    <w:basedOn w:val="DefaultParagraphFont"/>
    <w:link w:val="CommentText"/>
    <w:uiPriority w:val="99"/>
    <w:rsid w:val="00E71BF1"/>
    <w:rPr>
      <w:sz w:val="20"/>
      <w:szCs w:val="20"/>
    </w:rPr>
  </w:style>
  <w:style w:type="paragraph" w:styleId="CommentSubject">
    <w:name w:val="annotation subject"/>
    <w:basedOn w:val="CommentText"/>
    <w:next w:val="CommentText"/>
    <w:link w:val="CommentSubjectChar"/>
    <w:uiPriority w:val="99"/>
    <w:semiHidden/>
    <w:unhideWhenUsed/>
    <w:rsid w:val="00E71BF1"/>
    <w:rPr>
      <w:b/>
      <w:bCs/>
    </w:rPr>
  </w:style>
  <w:style w:type="character" w:customStyle="1" w:styleId="CommentSubjectChar">
    <w:name w:val="Comment Subject Char"/>
    <w:basedOn w:val="CommentTextChar"/>
    <w:link w:val="CommentSubject"/>
    <w:uiPriority w:val="99"/>
    <w:semiHidden/>
    <w:rsid w:val="00E71BF1"/>
    <w:rPr>
      <w:b/>
      <w:bCs/>
      <w:sz w:val="20"/>
      <w:szCs w:val="20"/>
    </w:rPr>
  </w:style>
  <w:style w:type="character" w:styleId="FollowedHyperlink">
    <w:name w:val="FollowedHyperlink"/>
    <w:basedOn w:val="DefaultParagraphFont"/>
    <w:uiPriority w:val="99"/>
    <w:semiHidden/>
    <w:unhideWhenUsed/>
    <w:rsid w:val="00D84A3D"/>
    <w:rPr>
      <w:color w:val="96607D" w:themeColor="followedHyperlink"/>
      <w:u w:val="single"/>
    </w:rPr>
  </w:style>
  <w:style w:type="table" w:styleId="TableGrid">
    <w:name w:val="Table Grid"/>
    <w:basedOn w:val="TableNormal"/>
    <w:uiPriority w:val="59"/>
    <w:rsid w:val="00D070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hr.ac.uk/about-us/who-we-are/research-inclusion/funding-application-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cr.nihr.ac.uk/PPI/get-involved/ppi-contac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hr.ac.uk/research-funding/application-support/working-with-people-and-communities" TargetMode="External"/><Relationship Id="rId5" Type="http://schemas.openxmlformats.org/officeDocument/2006/relationships/styles" Target="styles.xml"/><Relationship Id="rId15" Type="http://schemas.openxmlformats.org/officeDocument/2006/relationships/hyperlink" Target="mailto:spcr@keele.ac.uk" TargetMode="External"/><Relationship Id="rId10" Type="http://schemas.openxmlformats.org/officeDocument/2006/relationships/hyperlink" Target="https://www.nihr.ac.uk/about-us/who-we-are/research-inclusion/funding-application-guidance" TargetMode="External"/><Relationship Id="rId4" Type="http://schemas.openxmlformats.org/officeDocument/2006/relationships/numbering" Target="numbering.xml"/><Relationship Id="rId9" Type="http://schemas.openxmlformats.org/officeDocument/2006/relationships/hyperlink" Target="https://www.spcr.nihr.ac.uk/about-us/Who-we-are" TargetMode="External"/><Relationship Id="rId14" Type="http://schemas.openxmlformats.org/officeDocument/2006/relationships/hyperlink" Target="https://www.spcr.nihr.ac.uk/about-us/Who-w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1" ma:contentTypeDescription="Create a new document." ma:contentTypeScope="" ma:versionID="8974aaa4ee8ef3767a0decd15492064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8668a21b7b111cd973deaaf5cf57a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34B64-6CCE-4FF0-AFCF-E6AFB4578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7459C-65AC-4C84-8B84-B33DA2D7DEA9}">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30E44715-C643-44A4-9EFF-25153F0AA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1563</Words>
  <Characters>8912</Characters>
  <Application>Microsoft Office Word</Application>
  <DocSecurity>0</DocSecurity>
  <Lines>74</Lines>
  <Paragraphs>20</Paragraphs>
  <ScaleCrop>false</ScaleCrop>
  <Company>University College London</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 Jess</dc:creator>
  <cp:keywords/>
  <dc:description/>
  <cp:lastModifiedBy>Stephanie Gallimore</cp:lastModifiedBy>
  <cp:revision>17</cp:revision>
  <cp:lastPrinted>2026-01-07T07:04:00Z</cp:lastPrinted>
  <dcterms:created xsi:type="dcterms:W3CDTF">2025-12-11T06:13:00Z</dcterms:created>
  <dcterms:modified xsi:type="dcterms:W3CDTF">2026-01-12T12:33:00Z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