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AE" w:rsidRPr="009B061E" w:rsidRDefault="007817AE" w:rsidP="00876EDB">
      <w:pPr>
        <w:spacing w:after="0" w:line="240" w:lineRule="auto"/>
        <w:ind w:right="206"/>
        <w:rPr>
          <w:rFonts w:ascii="Arial" w:hAnsi="Arial" w:cs="Arial"/>
        </w:rPr>
      </w:pPr>
      <w:bookmarkStart w:id="0" w:name="_GoBack"/>
      <w:bookmarkEnd w:id="0"/>
    </w:p>
    <w:p w:rsidR="00BA70A1" w:rsidRPr="009B061E" w:rsidRDefault="00BA70A1" w:rsidP="00876EDB">
      <w:pPr>
        <w:spacing w:after="0" w:line="240" w:lineRule="auto"/>
        <w:ind w:right="206"/>
        <w:rPr>
          <w:rFonts w:ascii="Arial" w:hAnsi="Arial" w:cs="Arial"/>
        </w:rPr>
      </w:pPr>
    </w:p>
    <w:p w:rsidR="00DE0C02" w:rsidRDefault="00DE0C02" w:rsidP="00876ED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B73F0" w:rsidRDefault="00AB73F0" w:rsidP="00876ED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B061E" w:rsidRPr="00C26EDC" w:rsidRDefault="00C5753C" w:rsidP="008642F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26EDC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="009B061E" w:rsidRPr="00C26EDC">
        <w:rPr>
          <w:rFonts w:ascii="Arial" w:hAnsi="Arial" w:cs="Arial"/>
          <w:b/>
          <w:bCs/>
          <w:sz w:val="24"/>
          <w:szCs w:val="24"/>
          <w:u w:val="single"/>
        </w:rPr>
        <w:t>unding opportunities</w:t>
      </w:r>
      <w:r w:rsidRPr="00C26EDC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="008642FD">
        <w:rPr>
          <w:rFonts w:ascii="Arial" w:hAnsi="Arial" w:cs="Arial"/>
          <w:b/>
          <w:bCs/>
          <w:sz w:val="24"/>
          <w:szCs w:val="24"/>
          <w:u w:val="single"/>
        </w:rPr>
        <w:t xml:space="preserve">April </w:t>
      </w:r>
      <w:r w:rsidR="001E1C5E">
        <w:rPr>
          <w:rFonts w:ascii="Arial" w:hAnsi="Arial" w:cs="Arial"/>
          <w:b/>
          <w:bCs/>
          <w:sz w:val="24"/>
          <w:szCs w:val="24"/>
          <w:u w:val="single"/>
        </w:rPr>
        <w:t>2014</w:t>
      </w:r>
    </w:p>
    <w:p w:rsidR="00876EDB" w:rsidRDefault="00876EDB" w:rsidP="00876E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02A02" w:rsidRPr="00502A02" w:rsidRDefault="00502A02" w:rsidP="00876EDB">
      <w:pPr>
        <w:spacing w:after="0" w:line="240" w:lineRule="auto"/>
        <w:rPr>
          <w:rFonts w:ascii="Arial" w:hAnsi="Arial" w:cs="Arial"/>
        </w:rPr>
      </w:pPr>
      <w:r w:rsidRPr="00502A02">
        <w:rPr>
          <w:rFonts w:ascii="Arial" w:hAnsi="Arial" w:cs="Arial"/>
        </w:rPr>
        <w:t xml:space="preserve">All funding opportunities can be viewed on our website: </w:t>
      </w:r>
      <w:hyperlink r:id="rId8" w:history="1">
        <w:r w:rsidR="00E14AB5" w:rsidRPr="008D6E10">
          <w:rPr>
            <w:rStyle w:val="Hyperlink"/>
            <w:rFonts w:ascii="Arial" w:hAnsi="Arial" w:cs="Arial"/>
          </w:rPr>
          <w:t>www.nets.nihr.ac.uk/funding</w:t>
        </w:r>
      </w:hyperlink>
    </w:p>
    <w:p w:rsidR="00502A02" w:rsidRDefault="00502A02" w:rsidP="00876E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6EDB" w:rsidRDefault="00876EDB" w:rsidP="00876EDB">
      <w:pPr>
        <w:spacing w:after="0" w:line="240" w:lineRule="auto"/>
        <w:rPr>
          <w:rFonts w:ascii="Arial" w:hAnsi="Arial" w:cs="Arial"/>
        </w:rPr>
      </w:pPr>
      <w:r w:rsidRPr="00876EDB">
        <w:rPr>
          <w:rFonts w:ascii="Arial" w:hAnsi="Arial" w:cs="Arial"/>
        </w:rPr>
        <w:t xml:space="preserve">The following funding opportunities </w:t>
      </w:r>
      <w:r>
        <w:rPr>
          <w:rFonts w:ascii="Arial" w:hAnsi="Arial" w:cs="Arial"/>
        </w:rPr>
        <w:t xml:space="preserve">are </w:t>
      </w:r>
      <w:r w:rsidR="00370874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>available from the NIHR Evaluation, Studies and Trials Coordinating Centre</w:t>
      </w:r>
      <w:r w:rsidR="00DE0C02">
        <w:rPr>
          <w:rFonts w:ascii="Arial" w:hAnsi="Arial" w:cs="Arial"/>
        </w:rPr>
        <w:t xml:space="preserve"> </w:t>
      </w:r>
      <w:r w:rsidR="00651DAA">
        <w:rPr>
          <w:rFonts w:ascii="Arial" w:hAnsi="Arial" w:cs="Arial"/>
        </w:rPr>
        <w:t xml:space="preserve">research </w:t>
      </w:r>
      <w:r w:rsidR="00DE0C02">
        <w:rPr>
          <w:rFonts w:ascii="Arial" w:hAnsi="Arial" w:cs="Arial"/>
        </w:rPr>
        <w:t>programmes</w:t>
      </w:r>
      <w:r>
        <w:rPr>
          <w:rFonts w:ascii="Arial" w:hAnsi="Arial" w:cs="Arial"/>
        </w:rPr>
        <w:t>:</w:t>
      </w:r>
    </w:p>
    <w:p w:rsidR="00876EDB" w:rsidRPr="00876EDB" w:rsidRDefault="00876EDB" w:rsidP="00876EDB">
      <w:pPr>
        <w:spacing w:after="0" w:line="240" w:lineRule="auto"/>
        <w:rPr>
          <w:rFonts w:ascii="Arial" w:hAnsi="Arial" w:cs="Arial"/>
        </w:rPr>
      </w:pPr>
    </w:p>
    <w:p w:rsidR="009B061E" w:rsidRPr="00C26EDC" w:rsidRDefault="009B061E" w:rsidP="00876EDB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C26EDC">
        <w:rPr>
          <w:rFonts w:ascii="Arial" w:hAnsi="Arial" w:cs="Arial"/>
          <w:b/>
          <w:bCs/>
          <w:u w:val="single"/>
        </w:rPr>
        <w:t xml:space="preserve">Efficacy and Mechanism Evaluation (EME) Programme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Commissioned call for research proposals:</w:t>
      </w:r>
    </w:p>
    <w:p w:rsidR="009B061E" w:rsidRDefault="009B061E" w:rsidP="00876ED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 xml:space="preserve">Researchers are invited to submit applications in the following topic areas: </w:t>
      </w:r>
    </w:p>
    <w:p w:rsidR="002761EA" w:rsidRDefault="002761EA" w:rsidP="00850934">
      <w:pPr>
        <w:spacing w:after="0" w:line="240" w:lineRule="auto"/>
        <w:rPr>
          <w:rFonts w:ascii="Arial" w:hAnsi="Arial" w:cs="Arial"/>
        </w:rPr>
      </w:pPr>
    </w:p>
    <w:p w:rsidR="0051115A" w:rsidRPr="002761EA" w:rsidRDefault="002761EA" w:rsidP="002761E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14/24 </w:t>
      </w:r>
      <w:r w:rsidRPr="002761EA">
        <w:rPr>
          <w:rFonts w:ascii="Arial" w:hAnsi="Arial" w:cs="Arial"/>
        </w:rPr>
        <w:t>Mechanisms of action of health interventions</w:t>
      </w:r>
    </w:p>
    <w:p w:rsidR="001E1C5E" w:rsidRDefault="001E1C5E" w:rsidP="001E1C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E1C5E">
        <w:rPr>
          <w:rFonts w:ascii="Arial" w:hAnsi="Arial" w:cs="Arial"/>
        </w:rPr>
        <w:t>14/02 Stratified medicine in non-cancerous conditions</w:t>
      </w:r>
    </w:p>
    <w:p w:rsidR="002761EA" w:rsidRPr="002761EA" w:rsidRDefault="002761EA" w:rsidP="002761E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13/160</w:t>
      </w:r>
      <w:r w:rsidRPr="0051115A">
        <w:rPr>
          <w:rFonts w:ascii="Arial" w:hAnsi="Arial" w:cs="Arial"/>
        </w:rPr>
        <w:t xml:space="preserve"> Passive and bioactive implantable medical devices</w:t>
      </w:r>
    </w:p>
    <w:p w:rsidR="002A0AA9" w:rsidRPr="00787616" w:rsidRDefault="00CC7F76" w:rsidP="001E1C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13/161</w:t>
      </w:r>
      <w:r w:rsidR="002A0AA9">
        <w:rPr>
          <w:rFonts w:ascii="Arial" w:hAnsi="Arial" w:cs="Arial"/>
        </w:rPr>
        <w:t xml:space="preserve"> Self-harm and suicidal behaviours</w:t>
      </w:r>
    </w:p>
    <w:p w:rsidR="0051115A" w:rsidRDefault="0051115A" w:rsidP="0051115A">
      <w:pPr>
        <w:spacing w:after="0" w:line="240" w:lineRule="auto"/>
        <w:rPr>
          <w:rFonts w:ascii="Arial" w:hAnsi="Arial" w:cs="Arial"/>
        </w:rPr>
      </w:pPr>
    </w:p>
    <w:p w:rsidR="001E1C5E" w:rsidRPr="001E1C5E" w:rsidRDefault="0051115A" w:rsidP="001E1C5E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The deadline for applications is 1pm, 3 </w:t>
      </w:r>
      <w:r>
        <w:rPr>
          <w:rFonts w:ascii="Arial" w:hAnsi="Arial" w:cs="Arial"/>
        </w:rPr>
        <w:t>June</w:t>
      </w:r>
      <w:r w:rsidRPr="009B061E">
        <w:rPr>
          <w:rFonts w:ascii="Arial" w:hAnsi="Arial" w:cs="Arial"/>
        </w:rPr>
        <w:t xml:space="preserve"> 2014.</w:t>
      </w:r>
    </w:p>
    <w:p w:rsidR="00DE6CD0" w:rsidRDefault="00DE6CD0" w:rsidP="00876EDB">
      <w:pPr>
        <w:spacing w:after="0" w:line="240" w:lineRule="auto"/>
        <w:rPr>
          <w:rFonts w:ascii="Arial" w:hAnsi="Arial" w:cs="Arial"/>
        </w:rPr>
      </w:pPr>
    </w:p>
    <w:p w:rsidR="009B061E" w:rsidRPr="009B061E" w:rsidRDefault="009B061E" w:rsidP="00724A63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>To find out more, please visit</w:t>
      </w:r>
      <w:r w:rsidR="00724A63">
        <w:rPr>
          <w:rFonts w:ascii="Arial" w:hAnsi="Arial" w:cs="Arial"/>
        </w:rPr>
        <w:t xml:space="preserve"> </w:t>
      </w:r>
      <w:hyperlink r:id="rId9" w:history="1">
        <w:r w:rsidR="00E14AB5" w:rsidRPr="008D6E10">
          <w:rPr>
            <w:rStyle w:val="Hyperlink"/>
            <w:rFonts w:ascii="Arial" w:hAnsi="Arial" w:cs="Arial"/>
          </w:rPr>
          <w:t>www.nets.nihr.ac.uk/funding/eme-commissioned</w:t>
        </w:r>
      </w:hyperlink>
      <w:r w:rsidR="00EF2347">
        <w:rPr>
          <w:rFonts w:ascii="Arial" w:hAnsi="Arial" w:cs="Arial"/>
        </w:rPr>
        <w:t xml:space="preserve"> </w:t>
      </w:r>
    </w:p>
    <w:p w:rsidR="00F82FA8" w:rsidRDefault="00F82FA8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Researcher-led proposals:</w:t>
      </w:r>
    </w:p>
    <w:p w:rsidR="009B061E" w:rsidRDefault="009B061E" w:rsidP="006439BD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>The EME Programme is accepting applications to its researcher-led workstream.  The dead</w:t>
      </w:r>
      <w:r w:rsidR="006439BD">
        <w:rPr>
          <w:rFonts w:ascii="Arial" w:hAnsi="Arial" w:cs="Arial"/>
        </w:rPr>
        <w:t>line for applications is 1pm, 19</w:t>
      </w:r>
      <w:r w:rsidRPr="009B061E">
        <w:rPr>
          <w:rFonts w:ascii="Arial" w:hAnsi="Arial" w:cs="Arial"/>
        </w:rPr>
        <w:t xml:space="preserve"> </w:t>
      </w:r>
      <w:r w:rsidR="006439BD">
        <w:rPr>
          <w:rFonts w:ascii="Arial" w:hAnsi="Arial" w:cs="Arial"/>
        </w:rPr>
        <w:t>June</w:t>
      </w:r>
      <w:r w:rsidRPr="009B061E">
        <w:rPr>
          <w:rFonts w:ascii="Arial" w:hAnsi="Arial" w:cs="Arial"/>
        </w:rPr>
        <w:t xml:space="preserve"> 2014.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</w:rPr>
      </w:pPr>
    </w:p>
    <w:p w:rsidR="009B061E" w:rsidRPr="009B061E" w:rsidRDefault="009B061E" w:rsidP="00724A63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0" w:history="1">
        <w:r w:rsidR="00E14AB5" w:rsidRPr="008D6E10">
          <w:rPr>
            <w:rStyle w:val="Hyperlink"/>
            <w:rFonts w:ascii="Arial" w:hAnsi="Arial" w:cs="Arial"/>
          </w:rPr>
          <w:t>www.nets.nihr.ac.uk/funding/eme-researcher-led</w:t>
        </w:r>
      </w:hyperlink>
      <w:r w:rsidR="00345C90">
        <w:rPr>
          <w:rFonts w:ascii="Arial" w:hAnsi="Arial" w:cs="Arial"/>
        </w:rPr>
        <w:t xml:space="preserve"> </w:t>
      </w:r>
      <w:r w:rsidRPr="009B061E">
        <w:rPr>
          <w:rFonts w:ascii="Arial" w:hAnsi="Arial" w:cs="Arial"/>
        </w:rPr>
        <w:t xml:space="preserve"> </w:t>
      </w:r>
    </w:p>
    <w:p w:rsidR="00F82FA8" w:rsidRDefault="00F82FA8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B061E" w:rsidRPr="00C26EDC" w:rsidRDefault="009B061E" w:rsidP="00876EDB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C26EDC">
        <w:rPr>
          <w:rFonts w:ascii="Arial" w:hAnsi="Arial" w:cs="Arial"/>
          <w:b/>
          <w:bCs/>
          <w:u w:val="single"/>
        </w:rPr>
        <w:t xml:space="preserve">Health Services and Delivery Research (HS&amp;DR) Programme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Commissioned call for research proposals:</w:t>
      </w:r>
    </w:p>
    <w:p w:rsidR="009B061E" w:rsidRDefault="009B061E" w:rsidP="00B353AA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 xml:space="preserve">Researchers are invited to submit applications in </w:t>
      </w:r>
      <w:r w:rsidR="00B353AA">
        <w:rPr>
          <w:rFonts w:ascii="Arial" w:hAnsi="Arial" w:cs="Arial"/>
        </w:rPr>
        <w:t>the following</w:t>
      </w:r>
      <w:r w:rsidRPr="009B061E">
        <w:rPr>
          <w:rFonts w:ascii="Arial" w:hAnsi="Arial" w:cs="Arial"/>
        </w:rPr>
        <w:t xml:space="preserve"> topic areas: </w:t>
      </w:r>
    </w:p>
    <w:p w:rsidR="002A0AA9" w:rsidRDefault="002A0AA9" w:rsidP="00876EDB">
      <w:pPr>
        <w:spacing w:after="0" w:line="240" w:lineRule="auto"/>
        <w:rPr>
          <w:rFonts w:ascii="Arial" w:hAnsi="Arial" w:cs="Arial"/>
        </w:rPr>
      </w:pPr>
    </w:p>
    <w:p w:rsidR="002A0AA9" w:rsidRDefault="002A0AA9" w:rsidP="002A0AA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14/19 – Follow-on studies to funded HS&amp;DR projects</w:t>
      </w:r>
    </w:p>
    <w:p w:rsidR="002A0AA9" w:rsidRDefault="002A0AA9" w:rsidP="002A0AA9">
      <w:pPr>
        <w:pStyle w:val="NoSpacing"/>
        <w:rPr>
          <w:rFonts w:ascii="Arial" w:hAnsi="Arial" w:cs="Arial"/>
        </w:rPr>
      </w:pPr>
    </w:p>
    <w:p w:rsidR="009B061E" w:rsidRDefault="002A0AA9" w:rsidP="002A0AA9">
      <w:pPr>
        <w:pStyle w:val="NoSpacing"/>
        <w:rPr>
          <w:rFonts w:ascii="Arial" w:hAnsi="Arial" w:cs="Arial"/>
        </w:rPr>
      </w:pPr>
      <w:r w:rsidRPr="009B061E">
        <w:rPr>
          <w:rFonts w:ascii="Arial" w:hAnsi="Arial" w:cs="Arial"/>
        </w:rPr>
        <w:t>The dead</w:t>
      </w:r>
      <w:r w:rsidR="00B54102">
        <w:rPr>
          <w:rFonts w:ascii="Arial" w:hAnsi="Arial" w:cs="Arial"/>
        </w:rPr>
        <w:t>line for applications is 1pm, 10 April</w:t>
      </w:r>
      <w:r w:rsidRPr="009B061E">
        <w:rPr>
          <w:rFonts w:ascii="Arial" w:hAnsi="Arial" w:cs="Arial"/>
        </w:rPr>
        <w:t xml:space="preserve"> 2014.</w:t>
      </w:r>
    </w:p>
    <w:p w:rsidR="007575A6" w:rsidRPr="007575A6" w:rsidRDefault="007575A6" w:rsidP="00B353AA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:rsidR="00B353AA" w:rsidRPr="00B353AA" w:rsidRDefault="00B353AA" w:rsidP="00B353AA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353AA">
        <w:rPr>
          <w:rFonts w:ascii="Arial" w:hAnsi="Arial" w:cs="Arial"/>
        </w:rPr>
        <w:t>14/47 - Research on workforce implications of moving care out of hospital</w:t>
      </w:r>
      <w:r w:rsidRPr="00B353AA">
        <w:rPr>
          <w:rFonts w:ascii="Arial" w:hAnsi="Arial" w:cs="Arial"/>
        </w:rPr>
        <w:tab/>
      </w:r>
    </w:p>
    <w:p w:rsidR="00B353AA" w:rsidRPr="00B353AA" w:rsidRDefault="00B353AA" w:rsidP="00B353AA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353AA">
        <w:rPr>
          <w:rFonts w:ascii="Arial" w:hAnsi="Arial" w:cs="Arial"/>
        </w:rPr>
        <w:t>14/46 - Research into organisation of surgical services for the twenty-first century</w:t>
      </w:r>
    </w:p>
    <w:p w:rsidR="009B061E" w:rsidRDefault="00B353AA" w:rsidP="00B353AA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353AA">
        <w:rPr>
          <w:rFonts w:ascii="Arial" w:hAnsi="Arial" w:cs="Arial"/>
        </w:rPr>
        <w:t>13/157 - Research on improving performance and productivity at the clinical microsystem (team) level</w:t>
      </w:r>
    </w:p>
    <w:p w:rsidR="007575A6" w:rsidRPr="009B061E" w:rsidRDefault="007575A6" w:rsidP="00876EDB">
      <w:pPr>
        <w:pStyle w:val="NoSpacing"/>
        <w:rPr>
          <w:rFonts w:ascii="Arial" w:hAnsi="Arial" w:cs="Arial"/>
        </w:rPr>
      </w:pPr>
    </w:p>
    <w:p w:rsidR="009B061E" w:rsidRDefault="009B061E" w:rsidP="00876EDB">
      <w:pPr>
        <w:pStyle w:val="NoSpacing"/>
        <w:rPr>
          <w:rFonts w:ascii="Arial" w:hAnsi="Arial" w:cs="Arial"/>
        </w:rPr>
      </w:pPr>
      <w:r w:rsidRPr="009B061E">
        <w:rPr>
          <w:rFonts w:ascii="Arial" w:hAnsi="Arial" w:cs="Arial"/>
        </w:rPr>
        <w:lastRenderedPageBreak/>
        <w:t>The deadline for applications is 1pm, 15 May 2014.</w:t>
      </w:r>
    </w:p>
    <w:p w:rsidR="008B5A75" w:rsidRPr="009B061E" w:rsidRDefault="008B5A75" w:rsidP="00876EDB">
      <w:pPr>
        <w:pStyle w:val="NoSpacing"/>
        <w:rPr>
          <w:rFonts w:ascii="Arial" w:hAnsi="Arial" w:cs="Arial"/>
        </w:rPr>
      </w:pPr>
    </w:p>
    <w:p w:rsidR="00DE6CD0" w:rsidRPr="00925849" w:rsidRDefault="009B061E" w:rsidP="00925849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1" w:history="1">
        <w:r w:rsidR="00E14AB5" w:rsidRPr="008D6E10">
          <w:rPr>
            <w:rStyle w:val="Hyperlink"/>
            <w:rFonts w:ascii="Arial" w:hAnsi="Arial" w:cs="Arial"/>
          </w:rPr>
          <w:t>www.nets.nihr.ac.uk/funding/hsdr-commissioned</w:t>
        </w:r>
      </w:hyperlink>
      <w:r w:rsidR="007E65F2">
        <w:rPr>
          <w:rFonts w:ascii="Arial" w:hAnsi="Arial" w:cs="Arial"/>
        </w:rPr>
        <w:t xml:space="preserve"> </w:t>
      </w:r>
      <w:r w:rsidRPr="009B061E">
        <w:rPr>
          <w:rFonts w:ascii="Arial" w:hAnsi="Arial" w:cs="Arial"/>
        </w:rPr>
        <w:t xml:space="preserve"> </w:t>
      </w:r>
    </w:p>
    <w:p w:rsidR="00DE6CD0" w:rsidRDefault="00DE6CD0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DE6CD0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Researcher-led proposals:</w:t>
      </w:r>
    </w:p>
    <w:p w:rsidR="009B061E" w:rsidRDefault="009B061E" w:rsidP="00C55315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>The HS&amp;DR Programme is accepting applications to its researcher-led workstream.  The deadline for applications is</w:t>
      </w:r>
      <w:r w:rsidRPr="009B061E">
        <w:rPr>
          <w:rFonts w:ascii="Arial" w:hAnsi="Arial" w:cs="Arial"/>
          <w:b/>
          <w:bCs/>
        </w:rPr>
        <w:t xml:space="preserve"> </w:t>
      </w:r>
      <w:r w:rsidRPr="00C55315">
        <w:rPr>
          <w:rFonts w:ascii="Arial" w:hAnsi="Arial" w:cs="Arial"/>
        </w:rPr>
        <w:t xml:space="preserve">1pm, </w:t>
      </w:r>
      <w:r w:rsidR="00C55315" w:rsidRPr="00C55315">
        <w:rPr>
          <w:rFonts w:ascii="Arial" w:hAnsi="Arial" w:cs="Arial"/>
        </w:rPr>
        <w:t>25 April</w:t>
      </w:r>
      <w:r w:rsidRPr="00C55315">
        <w:rPr>
          <w:rFonts w:ascii="Arial" w:hAnsi="Arial" w:cs="Arial"/>
        </w:rPr>
        <w:t xml:space="preserve"> 2014.  </w:t>
      </w:r>
    </w:p>
    <w:p w:rsidR="00FD179C" w:rsidRPr="009B061E" w:rsidRDefault="00FD179C" w:rsidP="00876EDB">
      <w:pPr>
        <w:spacing w:after="0" w:line="240" w:lineRule="auto"/>
        <w:rPr>
          <w:rFonts w:ascii="Arial" w:hAnsi="Arial" w:cs="Arial"/>
        </w:rPr>
      </w:pPr>
    </w:p>
    <w:p w:rsidR="009B061E" w:rsidRPr="009B061E" w:rsidRDefault="009B061E" w:rsidP="00724A63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2" w:history="1">
        <w:r w:rsidR="00E14AB5" w:rsidRPr="008D6E10">
          <w:rPr>
            <w:rStyle w:val="Hyperlink"/>
            <w:rFonts w:ascii="Arial" w:hAnsi="Arial" w:cs="Arial"/>
          </w:rPr>
          <w:t>www.nets.nihr.ac.uk/funding/hsdr-researcher-led</w:t>
        </w:r>
      </w:hyperlink>
      <w:r w:rsidR="00FD179C">
        <w:rPr>
          <w:rFonts w:ascii="Arial" w:hAnsi="Arial" w:cs="Arial"/>
        </w:rPr>
        <w:t xml:space="preserve"> </w:t>
      </w:r>
    </w:p>
    <w:p w:rsidR="00F82FA8" w:rsidRDefault="00F82FA8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25849" w:rsidRDefault="00925849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B061E" w:rsidRPr="00C26EDC" w:rsidRDefault="009B061E" w:rsidP="00876EDB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C26EDC">
        <w:rPr>
          <w:rFonts w:ascii="Arial" w:hAnsi="Arial" w:cs="Arial"/>
          <w:b/>
          <w:bCs/>
          <w:u w:val="single"/>
        </w:rPr>
        <w:t xml:space="preserve">Health Technology Assessment (HTA) Programme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3F4EC5" w:rsidRDefault="009B061E" w:rsidP="00E006BC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Commissioned calls for research proposals:</w:t>
      </w:r>
    </w:p>
    <w:p w:rsidR="009B061E" w:rsidRDefault="009B061E" w:rsidP="00876ED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 xml:space="preserve">Proposals are invited on a number of commissioning briefs, in the areas of primary </w:t>
      </w:r>
      <w:r w:rsidR="004D4F7B">
        <w:rPr>
          <w:rFonts w:ascii="Arial" w:hAnsi="Arial" w:cs="Arial"/>
        </w:rPr>
        <w:t>research and evidence synthesis:</w:t>
      </w:r>
      <w:r w:rsidRPr="009B061E">
        <w:rPr>
          <w:rFonts w:ascii="Arial" w:hAnsi="Arial" w:cs="Arial"/>
        </w:rPr>
        <w:t xml:space="preserve"> </w:t>
      </w:r>
    </w:p>
    <w:p w:rsidR="003F4EC5" w:rsidRDefault="003F4EC5" w:rsidP="003F4EC5">
      <w:pPr>
        <w:spacing w:after="0" w:line="240" w:lineRule="auto"/>
        <w:rPr>
          <w:rFonts w:ascii="Arial" w:hAnsi="Arial" w:cs="Arial"/>
        </w:rPr>
      </w:pP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14/27 - </w:t>
      </w:r>
      <w:r w:rsidR="00B353AA" w:rsidRPr="003015B5">
        <w:rPr>
          <w:rFonts w:ascii="Arial" w:hAnsi="Arial" w:cs="Arial"/>
        </w:rPr>
        <w:t xml:space="preserve">Interventions for antipsychotic-induced tardive dyskinesia 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14/30 - </w:t>
      </w:r>
      <w:r w:rsidR="00B353AA" w:rsidRPr="003015B5">
        <w:rPr>
          <w:rFonts w:ascii="Arial" w:hAnsi="Arial" w:cs="Arial"/>
        </w:rPr>
        <w:t>Multi-modal retinal imaging for surveillance of patients with treated diabetic eye disease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14/32 - </w:t>
      </w:r>
      <w:r w:rsidR="00B353AA" w:rsidRPr="003015B5">
        <w:rPr>
          <w:rFonts w:ascii="Arial" w:hAnsi="Arial" w:cs="Arial"/>
        </w:rPr>
        <w:t xml:space="preserve">Quantitative </w:t>
      </w:r>
      <w:proofErr w:type="spellStart"/>
      <w:r w:rsidR="00B353AA" w:rsidRPr="003015B5">
        <w:rPr>
          <w:rFonts w:ascii="Arial" w:hAnsi="Arial" w:cs="Arial"/>
        </w:rPr>
        <w:t>fetal</w:t>
      </w:r>
      <w:proofErr w:type="spellEnd"/>
      <w:r w:rsidR="00B353AA" w:rsidRPr="003015B5">
        <w:rPr>
          <w:rFonts w:ascii="Arial" w:hAnsi="Arial" w:cs="Arial"/>
        </w:rPr>
        <w:t xml:space="preserve"> </w:t>
      </w:r>
      <w:proofErr w:type="spellStart"/>
      <w:r w:rsidR="00B353AA" w:rsidRPr="003015B5">
        <w:rPr>
          <w:rFonts w:ascii="Arial" w:hAnsi="Arial" w:cs="Arial"/>
        </w:rPr>
        <w:t>fibronectin</w:t>
      </w:r>
      <w:proofErr w:type="spellEnd"/>
      <w:r w:rsidR="00B353AA" w:rsidRPr="003015B5">
        <w:rPr>
          <w:rFonts w:ascii="Arial" w:hAnsi="Arial" w:cs="Arial"/>
        </w:rPr>
        <w:t xml:space="preserve"> for ruling out preterm labour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14/31 - </w:t>
      </w:r>
      <w:r w:rsidR="00B353AA" w:rsidRPr="003015B5">
        <w:rPr>
          <w:rFonts w:ascii="Arial" w:hAnsi="Arial" w:cs="Arial"/>
        </w:rPr>
        <w:t>CT and MRI for women with ovarian cancer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14/33 - </w:t>
      </w:r>
      <w:r w:rsidR="00B353AA" w:rsidRPr="003015B5">
        <w:rPr>
          <w:rFonts w:ascii="Arial" w:hAnsi="Arial" w:cs="Arial"/>
        </w:rPr>
        <w:t>Self-monitoring for age-related macular degeneration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14/34 - </w:t>
      </w:r>
      <w:r w:rsidR="00B353AA" w:rsidRPr="003015B5">
        <w:rPr>
          <w:rFonts w:ascii="Arial" w:hAnsi="Arial" w:cs="Arial"/>
        </w:rPr>
        <w:t xml:space="preserve">Treatment of avascular necrosis (AVN) of the femoral head </w:t>
      </w:r>
    </w:p>
    <w:p w:rsidR="00B353AA" w:rsidRPr="003015B5" w:rsidRDefault="00C27846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14/</w:t>
      </w:r>
      <w:r w:rsidR="008655F8" w:rsidRPr="003015B5">
        <w:rPr>
          <w:rFonts w:ascii="Arial" w:hAnsi="Arial" w:cs="Arial"/>
        </w:rPr>
        <w:t>3</w:t>
      </w:r>
      <w:r>
        <w:rPr>
          <w:rFonts w:ascii="Arial" w:hAnsi="Arial" w:cs="Arial"/>
        </w:rPr>
        <w:t>5</w:t>
      </w:r>
      <w:r w:rsidR="008655F8" w:rsidRPr="003015B5">
        <w:rPr>
          <w:rFonts w:ascii="Arial" w:hAnsi="Arial" w:cs="Arial"/>
        </w:rPr>
        <w:t xml:space="preserve"> - </w:t>
      </w:r>
      <w:r w:rsidR="00B353AA" w:rsidRPr="003015B5">
        <w:rPr>
          <w:rFonts w:ascii="Arial" w:hAnsi="Arial" w:cs="Arial"/>
        </w:rPr>
        <w:t xml:space="preserve">Opioids in chronic non-malignant pain 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14/36 - </w:t>
      </w:r>
      <w:r w:rsidR="00B353AA" w:rsidRPr="003015B5">
        <w:rPr>
          <w:rFonts w:ascii="Arial" w:hAnsi="Arial" w:cs="Arial"/>
        </w:rPr>
        <w:t xml:space="preserve">Risks and benefits of bisphosphonates in patients with osteoporosis and renal impairment 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14/37 - </w:t>
      </w:r>
      <w:r w:rsidR="00B353AA" w:rsidRPr="003015B5">
        <w:rPr>
          <w:rFonts w:ascii="Arial" w:hAnsi="Arial" w:cs="Arial"/>
        </w:rPr>
        <w:t>Surfactant therapy for critically ill infants with bronchiolitis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14/38 - </w:t>
      </w:r>
      <w:r w:rsidR="00B353AA" w:rsidRPr="003015B5">
        <w:rPr>
          <w:rFonts w:ascii="Arial" w:hAnsi="Arial" w:cs="Arial"/>
        </w:rPr>
        <w:t>Optimum threshold for intervening with continuous positive airway pressure (CPAP) for infants with bronchiolitis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14/39 - </w:t>
      </w:r>
      <w:r w:rsidR="00B353AA" w:rsidRPr="003015B5">
        <w:rPr>
          <w:rFonts w:ascii="Arial" w:hAnsi="Arial" w:cs="Arial"/>
        </w:rPr>
        <w:t xml:space="preserve">Non-implanted bone conduction hearing aids vs grommets for glue ear in children who have Down syndrome 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14/40 - </w:t>
      </w:r>
      <w:r w:rsidR="00B353AA" w:rsidRPr="003015B5">
        <w:rPr>
          <w:rFonts w:ascii="Arial" w:hAnsi="Arial" w:cs="Arial"/>
        </w:rPr>
        <w:t xml:space="preserve">A permissive approach to fever in critically ill children 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14/41 - </w:t>
      </w:r>
      <w:r w:rsidR="00B353AA" w:rsidRPr="003015B5">
        <w:rPr>
          <w:rFonts w:ascii="Arial" w:hAnsi="Arial" w:cs="Arial"/>
        </w:rPr>
        <w:t>Harm reduction intervention for severe alcohol dependence among people who are homeless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14/42 - </w:t>
      </w:r>
      <w:r w:rsidR="00B353AA" w:rsidRPr="003015B5">
        <w:rPr>
          <w:rFonts w:ascii="Arial" w:hAnsi="Arial" w:cs="Arial"/>
        </w:rPr>
        <w:t xml:space="preserve">Preoperative alcohol cessation prior to elective surgery 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14/43 - </w:t>
      </w:r>
      <w:r w:rsidR="00B353AA" w:rsidRPr="003015B5">
        <w:rPr>
          <w:rFonts w:ascii="Arial" w:hAnsi="Arial" w:cs="Arial"/>
        </w:rPr>
        <w:t>Guided self-help for depression in adults with autism spectrum disorder</w:t>
      </w:r>
    </w:p>
    <w:p w:rsidR="00B353AA" w:rsidRPr="003015B5" w:rsidRDefault="008655F8" w:rsidP="003015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14/44 - </w:t>
      </w:r>
      <w:r w:rsidR="00B353AA" w:rsidRPr="003015B5">
        <w:rPr>
          <w:rFonts w:ascii="Arial" w:hAnsi="Arial" w:cs="Arial"/>
        </w:rPr>
        <w:t>What is the best way to deliver pre-operative smoking cessation interventions</w:t>
      </w:r>
    </w:p>
    <w:p w:rsidR="00B353AA" w:rsidRPr="00AB5A34" w:rsidRDefault="008655F8" w:rsidP="00AB5A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015B5">
        <w:rPr>
          <w:rFonts w:ascii="Arial" w:hAnsi="Arial" w:cs="Arial"/>
        </w:rPr>
        <w:t xml:space="preserve">14/45 - </w:t>
      </w:r>
      <w:r w:rsidR="00B353AA" w:rsidRPr="003015B5">
        <w:rPr>
          <w:rFonts w:ascii="Arial" w:hAnsi="Arial" w:cs="Arial"/>
        </w:rPr>
        <w:t>Chondroitin sulphate for people with hand osteoarthritis to improve hand function and pain</w:t>
      </w:r>
    </w:p>
    <w:p w:rsidR="004D4F7B" w:rsidRPr="004D4F7B" w:rsidRDefault="004D4F7B" w:rsidP="004D4F7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13/136 </w:t>
      </w:r>
      <w:r w:rsidR="003F4EC5">
        <w:rPr>
          <w:rFonts w:ascii="Arial" w:hAnsi="Arial" w:cs="Arial"/>
        </w:rPr>
        <w:t xml:space="preserve">- </w:t>
      </w:r>
      <w:r w:rsidRPr="004D4F7B">
        <w:rPr>
          <w:rFonts w:ascii="Arial" w:hAnsi="Arial" w:cs="Arial"/>
        </w:rPr>
        <w:t>HbA1c targets for people with type 2 diabetes</w:t>
      </w:r>
    </w:p>
    <w:p w:rsidR="004D4F7B" w:rsidRPr="004D4F7B" w:rsidRDefault="004D4F7B" w:rsidP="004D4F7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13/137 </w:t>
      </w:r>
      <w:r w:rsidR="003F4EC5">
        <w:rPr>
          <w:rFonts w:ascii="Arial" w:hAnsi="Arial" w:cs="Arial"/>
        </w:rPr>
        <w:t xml:space="preserve">- </w:t>
      </w:r>
      <w:r w:rsidRPr="004D4F7B">
        <w:rPr>
          <w:rFonts w:ascii="Arial" w:hAnsi="Arial" w:cs="Arial"/>
        </w:rPr>
        <w:t>Interventions to increase the uptake of diabetic retinopathy screening</w:t>
      </w:r>
    </w:p>
    <w:p w:rsidR="004D4F7B" w:rsidRPr="004D4F7B" w:rsidRDefault="004D4F7B" w:rsidP="004D4F7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13/138 </w:t>
      </w:r>
      <w:r w:rsidR="003F4EC5">
        <w:rPr>
          <w:rFonts w:ascii="Arial" w:hAnsi="Arial" w:cs="Arial"/>
        </w:rPr>
        <w:t xml:space="preserve">- </w:t>
      </w:r>
      <w:r w:rsidRPr="004D4F7B">
        <w:rPr>
          <w:rFonts w:ascii="Arial" w:hAnsi="Arial" w:cs="Arial"/>
        </w:rPr>
        <w:t>Managing diabetes in people with dementia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13/150 - Self-sampling for sexually transmitted infections in men who have sex with men 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13/151 - Interventions for small bowel Crohn’s disease 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13/152 - Surgical interventions for renal stones 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13/153 - Ablative techniques for liver metastases 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13/154 - Early warning signs of relapse in schizophrenia </w:t>
      </w:r>
    </w:p>
    <w:p w:rsidR="00670431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>13/155 - Relapse prevention interventions for smoking cessation</w:t>
      </w:r>
    </w:p>
    <w:p w:rsidR="004D4F7B" w:rsidRDefault="004D4F7B" w:rsidP="004D4F7B">
      <w:pPr>
        <w:spacing w:after="0" w:line="240" w:lineRule="auto"/>
        <w:rPr>
          <w:rFonts w:ascii="Arial" w:hAnsi="Arial" w:cs="Arial"/>
        </w:rPr>
      </w:pPr>
    </w:p>
    <w:p w:rsidR="004D4F7B" w:rsidRDefault="004D4F7B" w:rsidP="004D4F7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lastRenderedPageBreak/>
        <w:t>The deadline for applications is 1pm</w:t>
      </w:r>
      <w:r>
        <w:rPr>
          <w:rFonts w:ascii="Arial" w:hAnsi="Arial" w:cs="Arial"/>
        </w:rPr>
        <w:t>, 8 May 2014.</w:t>
      </w:r>
    </w:p>
    <w:p w:rsidR="006439BD" w:rsidRDefault="006439BD" w:rsidP="004D4F7B">
      <w:pPr>
        <w:spacing w:after="0" w:line="240" w:lineRule="auto"/>
        <w:rPr>
          <w:rFonts w:ascii="Arial" w:hAnsi="Arial" w:cs="Arial"/>
        </w:rPr>
      </w:pPr>
    </w:p>
    <w:p w:rsidR="00AB5A34" w:rsidRPr="00AB5A34" w:rsidRDefault="00AB5A34" w:rsidP="00AB5A3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AB5A34">
        <w:rPr>
          <w:rFonts w:ascii="Arial" w:hAnsi="Arial" w:cs="Arial"/>
        </w:rPr>
        <w:t xml:space="preserve">14/26 - Medically unexplained symptoms (MUS): primary care intervention </w:t>
      </w:r>
    </w:p>
    <w:p w:rsidR="00AB5A34" w:rsidRPr="00AB5A34" w:rsidRDefault="00AB5A34" w:rsidP="00AB5A3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AB5A34">
        <w:rPr>
          <w:rFonts w:ascii="Arial" w:hAnsi="Arial" w:cs="Arial"/>
        </w:rPr>
        <w:t>14/28 - Covered versus uncovered self-expanding metal bowel stents</w:t>
      </w:r>
    </w:p>
    <w:p w:rsidR="006439BD" w:rsidRDefault="00AB5A34" w:rsidP="00AB5A3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AB5A34">
        <w:rPr>
          <w:rFonts w:ascii="Arial" w:hAnsi="Arial" w:cs="Arial"/>
        </w:rPr>
        <w:t>14/29 - Enhancing health related quality of life in children who live with a primary carer with serious mental illness</w:t>
      </w:r>
    </w:p>
    <w:p w:rsidR="00AB5A34" w:rsidRDefault="00AB5A34" w:rsidP="00AB5A34">
      <w:pPr>
        <w:spacing w:after="0" w:line="240" w:lineRule="auto"/>
        <w:rPr>
          <w:rFonts w:ascii="Arial" w:hAnsi="Arial" w:cs="Arial"/>
        </w:rPr>
      </w:pPr>
    </w:p>
    <w:p w:rsidR="00AB5A34" w:rsidRPr="00AB5A34" w:rsidRDefault="00AB5A34" w:rsidP="00AB5A34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>The deadline for applications is</w:t>
      </w:r>
      <w:r>
        <w:rPr>
          <w:rFonts w:ascii="Arial" w:hAnsi="Arial" w:cs="Arial"/>
        </w:rPr>
        <w:t xml:space="preserve"> 1pm, 16 August 2014.</w:t>
      </w:r>
    </w:p>
    <w:p w:rsidR="008B5A75" w:rsidRPr="004D4F7B" w:rsidRDefault="008B5A75" w:rsidP="004D4F7B">
      <w:pPr>
        <w:spacing w:after="0" w:line="240" w:lineRule="auto"/>
        <w:rPr>
          <w:rFonts w:ascii="Arial" w:hAnsi="Arial" w:cs="Arial"/>
        </w:rPr>
      </w:pPr>
    </w:p>
    <w:p w:rsidR="009B061E" w:rsidRDefault="009B061E" w:rsidP="00724A63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>To find out more, please visit</w:t>
      </w:r>
      <w:r w:rsidR="00724A63">
        <w:rPr>
          <w:rFonts w:ascii="Arial" w:hAnsi="Arial" w:cs="Arial"/>
        </w:rPr>
        <w:t xml:space="preserve"> </w:t>
      </w:r>
      <w:hyperlink r:id="rId13" w:history="1">
        <w:r w:rsidR="00E14AB5" w:rsidRPr="008D6E10">
          <w:rPr>
            <w:rStyle w:val="Hyperlink"/>
            <w:rFonts w:ascii="Arial" w:hAnsi="Arial" w:cs="Arial"/>
          </w:rPr>
          <w:t>www.nets.nihr.ac.uk/funding/hta-commissioned</w:t>
        </w:r>
      </w:hyperlink>
      <w:r w:rsidR="00724A63">
        <w:rPr>
          <w:rFonts w:ascii="Arial" w:hAnsi="Arial" w:cs="Arial"/>
        </w:rPr>
        <w:t xml:space="preserve">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</w:rPr>
      </w:pPr>
    </w:p>
    <w:p w:rsidR="001139B9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Researcher-led proposals:</w:t>
      </w:r>
    </w:p>
    <w:p w:rsidR="00876EDB" w:rsidRDefault="009B061E" w:rsidP="00836AED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="00865AC2" w:rsidRPr="009B061E">
        <w:rPr>
          <w:rFonts w:ascii="Arial" w:hAnsi="Arial" w:cs="Arial"/>
        </w:rPr>
        <w:t xml:space="preserve">The </w:t>
      </w:r>
      <w:r w:rsidR="00836AED">
        <w:rPr>
          <w:rFonts w:ascii="Arial" w:hAnsi="Arial" w:cs="Arial"/>
        </w:rPr>
        <w:t>HTA</w:t>
      </w:r>
      <w:r w:rsidR="00865AC2" w:rsidRPr="009B061E">
        <w:rPr>
          <w:rFonts w:ascii="Arial" w:hAnsi="Arial" w:cs="Arial"/>
        </w:rPr>
        <w:t xml:space="preserve"> Programme is accepting applications t</w:t>
      </w:r>
      <w:r w:rsidR="009C1F17">
        <w:rPr>
          <w:rFonts w:ascii="Arial" w:hAnsi="Arial" w:cs="Arial"/>
        </w:rPr>
        <w:t>o its researcher-led workstream in the areas of primary research and evidence synthesis.</w:t>
      </w:r>
      <w:r w:rsidR="00865AC2" w:rsidRPr="009B061E">
        <w:rPr>
          <w:rFonts w:ascii="Arial" w:hAnsi="Arial" w:cs="Arial"/>
        </w:rPr>
        <w:t xml:space="preserve"> </w:t>
      </w:r>
      <w:r w:rsidR="00865AC2">
        <w:rPr>
          <w:rFonts w:ascii="Arial" w:hAnsi="Arial" w:cs="Arial"/>
        </w:rPr>
        <w:t xml:space="preserve">The deadline for applications </w:t>
      </w:r>
      <w:r w:rsidR="00BF6DBD">
        <w:rPr>
          <w:rFonts w:ascii="Arial" w:hAnsi="Arial" w:cs="Arial"/>
        </w:rPr>
        <w:t>is</w:t>
      </w:r>
      <w:r w:rsidRPr="009B061E">
        <w:rPr>
          <w:rFonts w:ascii="Arial" w:hAnsi="Arial" w:cs="Arial"/>
          <w:b/>
          <w:bCs/>
        </w:rPr>
        <w:t xml:space="preserve"> </w:t>
      </w:r>
      <w:r w:rsidRPr="009B061E">
        <w:rPr>
          <w:rFonts w:ascii="Arial" w:hAnsi="Arial" w:cs="Arial"/>
        </w:rPr>
        <w:t>1pm</w:t>
      </w:r>
      <w:r w:rsidR="00BF6DBD">
        <w:rPr>
          <w:rFonts w:ascii="Arial" w:hAnsi="Arial" w:cs="Arial"/>
        </w:rPr>
        <w:t>,</w:t>
      </w:r>
      <w:r w:rsidR="004502CA">
        <w:rPr>
          <w:rFonts w:ascii="Arial" w:hAnsi="Arial" w:cs="Arial"/>
        </w:rPr>
        <w:t xml:space="preserve"> 12</w:t>
      </w:r>
      <w:r w:rsidRPr="009B061E">
        <w:rPr>
          <w:rFonts w:ascii="Arial" w:hAnsi="Arial" w:cs="Arial"/>
        </w:rPr>
        <w:t xml:space="preserve"> </w:t>
      </w:r>
      <w:r w:rsidR="004502CA">
        <w:rPr>
          <w:rFonts w:ascii="Arial" w:hAnsi="Arial" w:cs="Arial"/>
        </w:rPr>
        <w:t>May</w:t>
      </w:r>
      <w:r w:rsidRPr="009B061E">
        <w:rPr>
          <w:rFonts w:ascii="Arial" w:hAnsi="Arial" w:cs="Arial"/>
        </w:rPr>
        <w:t xml:space="preserve"> 2014.  </w:t>
      </w:r>
    </w:p>
    <w:p w:rsidR="00041E08" w:rsidRDefault="00041E08" w:rsidP="00836AED">
      <w:pPr>
        <w:spacing w:after="0" w:line="240" w:lineRule="auto"/>
        <w:rPr>
          <w:rFonts w:ascii="Arial" w:hAnsi="Arial" w:cs="Arial"/>
        </w:rPr>
      </w:pPr>
    </w:p>
    <w:p w:rsidR="00041E08" w:rsidRDefault="006B2F94" w:rsidP="006439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</w:t>
      </w:r>
      <w:r w:rsidR="00B645ED">
        <w:rPr>
          <w:rFonts w:ascii="Arial" w:hAnsi="Arial" w:cs="Arial"/>
        </w:rPr>
        <w:t>rogramme</w:t>
      </w:r>
      <w:r w:rsidR="00041E08">
        <w:rPr>
          <w:rFonts w:ascii="Arial" w:hAnsi="Arial" w:cs="Arial"/>
        </w:rPr>
        <w:t xml:space="preserve"> </w:t>
      </w:r>
      <w:r w:rsidR="00A271C3">
        <w:rPr>
          <w:rFonts w:ascii="Arial" w:hAnsi="Arial" w:cs="Arial"/>
        </w:rPr>
        <w:t xml:space="preserve">is also interested in receiving expressions of interest </w:t>
      </w:r>
      <w:r w:rsidR="00041E08">
        <w:rPr>
          <w:rFonts w:ascii="Arial" w:hAnsi="Arial" w:cs="Arial"/>
        </w:rPr>
        <w:t xml:space="preserve">on the topic </w:t>
      </w:r>
      <w:r w:rsidR="00A271C3">
        <w:rPr>
          <w:rFonts w:ascii="Arial" w:hAnsi="Arial" w:cs="Arial"/>
        </w:rPr>
        <w:t>of funding for primary research</w:t>
      </w:r>
      <w:r w:rsidR="00C47B57">
        <w:rPr>
          <w:rFonts w:ascii="Arial" w:hAnsi="Arial" w:cs="Arial"/>
        </w:rPr>
        <w:t>,</w:t>
      </w:r>
      <w:r w:rsidR="00A271C3">
        <w:rPr>
          <w:rFonts w:ascii="Arial" w:hAnsi="Arial" w:cs="Arial"/>
        </w:rPr>
        <w:t xml:space="preserve"> using efficient study d</w:t>
      </w:r>
      <w:r w:rsidR="00A271C3" w:rsidRPr="00A271C3">
        <w:rPr>
          <w:rFonts w:ascii="Arial" w:hAnsi="Arial" w:cs="Arial"/>
        </w:rPr>
        <w:t>esigns</w:t>
      </w:r>
      <w:r w:rsidR="00A271C3">
        <w:rPr>
          <w:rFonts w:ascii="Arial" w:hAnsi="Arial" w:cs="Arial"/>
        </w:rPr>
        <w:t xml:space="preserve"> to evaluate clinical and public health i</w:t>
      </w:r>
      <w:r w:rsidR="00A271C3" w:rsidRPr="00A271C3">
        <w:rPr>
          <w:rFonts w:ascii="Arial" w:hAnsi="Arial" w:cs="Arial"/>
        </w:rPr>
        <w:t>nterventions for the NHS</w:t>
      </w:r>
      <w:r w:rsidR="00041E08">
        <w:rPr>
          <w:rFonts w:ascii="Arial" w:hAnsi="Arial" w:cs="Arial"/>
        </w:rPr>
        <w:t>.  The deadline for applications</w:t>
      </w:r>
      <w:r w:rsidR="00A271C3">
        <w:rPr>
          <w:rFonts w:ascii="Arial" w:hAnsi="Arial" w:cs="Arial"/>
        </w:rPr>
        <w:t xml:space="preserve"> is</w:t>
      </w:r>
      <w:r w:rsidR="00041E08">
        <w:rPr>
          <w:rFonts w:ascii="Arial" w:hAnsi="Arial" w:cs="Arial"/>
        </w:rPr>
        <w:t xml:space="preserve"> </w:t>
      </w:r>
      <w:r w:rsidR="006439BD">
        <w:rPr>
          <w:rFonts w:ascii="Arial" w:hAnsi="Arial" w:cs="Arial"/>
        </w:rPr>
        <w:t>1pm, 16 July 2014.</w:t>
      </w:r>
    </w:p>
    <w:p w:rsidR="00493738" w:rsidRDefault="00493738" w:rsidP="00724A63">
      <w:pPr>
        <w:spacing w:after="0" w:line="240" w:lineRule="auto"/>
        <w:rPr>
          <w:rFonts w:ascii="Arial" w:hAnsi="Arial" w:cs="Arial"/>
        </w:rPr>
      </w:pPr>
    </w:p>
    <w:p w:rsidR="009B061E" w:rsidRPr="009B061E" w:rsidRDefault="009B061E" w:rsidP="00724A63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</w:rPr>
        <w:t>To</w:t>
      </w:r>
      <w:r w:rsidR="00724A63">
        <w:rPr>
          <w:rFonts w:ascii="Arial" w:hAnsi="Arial" w:cs="Arial"/>
        </w:rPr>
        <w:t xml:space="preserve"> find out more, please visit</w:t>
      </w:r>
      <w:r w:rsidRPr="009B061E">
        <w:rPr>
          <w:rFonts w:ascii="Arial" w:hAnsi="Arial" w:cs="Arial"/>
        </w:rPr>
        <w:t xml:space="preserve"> </w:t>
      </w:r>
      <w:hyperlink r:id="rId14" w:history="1">
        <w:r w:rsidR="00E14AB5" w:rsidRPr="008D6E10">
          <w:rPr>
            <w:rStyle w:val="Hyperlink"/>
            <w:rFonts w:ascii="Arial" w:hAnsi="Arial" w:cs="Arial"/>
          </w:rPr>
          <w:t>www.nets.nihr.ac.uk/funding/hta-researcher-led</w:t>
        </w:r>
      </w:hyperlink>
      <w:r w:rsidR="00724A63">
        <w:rPr>
          <w:rFonts w:ascii="Arial" w:hAnsi="Arial" w:cs="Arial"/>
        </w:rPr>
        <w:t xml:space="preserve"> </w:t>
      </w:r>
    </w:p>
    <w:p w:rsidR="00F82FA8" w:rsidRDefault="00F82FA8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25849" w:rsidRDefault="00925849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B061E" w:rsidRPr="00C26EDC" w:rsidRDefault="009B061E" w:rsidP="00876EDB">
      <w:pPr>
        <w:spacing w:after="0" w:line="240" w:lineRule="auto"/>
        <w:rPr>
          <w:rStyle w:val="Hyperlink"/>
          <w:rFonts w:ascii="Arial" w:hAnsi="Arial" w:cs="Arial"/>
          <w:b/>
          <w:bCs/>
        </w:rPr>
      </w:pPr>
      <w:r w:rsidRPr="00C26EDC">
        <w:rPr>
          <w:rFonts w:ascii="Arial" w:hAnsi="Arial" w:cs="Arial"/>
          <w:b/>
          <w:bCs/>
          <w:u w:val="single"/>
        </w:rPr>
        <w:t>Public Health Research (PHR) Programme</w:t>
      </w:r>
      <w:r w:rsidRPr="00C26EDC">
        <w:rPr>
          <w:rStyle w:val="Hyperlink"/>
          <w:rFonts w:ascii="Arial" w:hAnsi="Arial" w:cs="Arial"/>
          <w:b/>
          <w:bCs/>
        </w:rPr>
        <w:t xml:space="preserve">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DE6CD0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Commissioned calls for research proposals:</w:t>
      </w:r>
    </w:p>
    <w:p w:rsidR="009B061E" w:rsidRDefault="009B061E" w:rsidP="00876ED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 xml:space="preserve">Researchers are invited to submit applications in the following topic areas: </w:t>
      </w:r>
    </w:p>
    <w:p w:rsidR="00103B3B" w:rsidRPr="00103B3B" w:rsidRDefault="00103B3B" w:rsidP="00103B3B">
      <w:pPr>
        <w:spacing w:after="0" w:line="240" w:lineRule="auto"/>
        <w:rPr>
          <w:rFonts w:ascii="Arial" w:hAnsi="Arial" w:cs="Arial"/>
        </w:rPr>
      </w:pPr>
    </w:p>
    <w:p w:rsidR="00103B3B" w:rsidRPr="00103B3B" w:rsidRDefault="00103B3B" w:rsidP="00103B3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03B3B">
        <w:rPr>
          <w:rFonts w:ascii="Arial" w:hAnsi="Arial" w:cs="Arial"/>
        </w:rPr>
        <w:t>13/162 - Improving oral health</w:t>
      </w:r>
    </w:p>
    <w:p w:rsidR="00103B3B" w:rsidRDefault="00103B3B" w:rsidP="00103B3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03B3B">
        <w:rPr>
          <w:rFonts w:ascii="Arial" w:hAnsi="Arial" w:cs="Arial"/>
        </w:rPr>
        <w:t>13/163 - Mass media for public health messages</w:t>
      </w:r>
    </w:p>
    <w:p w:rsidR="00103B3B" w:rsidRDefault="00103B3B" w:rsidP="00103B3B">
      <w:pPr>
        <w:spacing w:after="0" w:line="240" w:lineRule="auto"/>
        <w:rPr>
          <w:rFonts w:ascii="Arial" w:hAnsi="Arial" w:cs="Arial"/>
        </w:rPr>
      </w:pPr>
    </w:p>
    <w:p w:rsidR="00103B3B" w:rsidRDefault="00103B3B" w:rsidP="00103B3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>The dead</w:t>
      </w:r>
      <w:r>
        <w:rPr>
          <w:rFonts w:ascii="Arial" w:hAnsi="Arial" w:cs="Arial"/>
        </w:rPr>
        <w:t>line for applications is 1pm, 22</w:t>
      </w:r>
      <w:r w:rsidRPr="009B0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  <w:r w:rsidR="000B3FB9">
        <w:rPr>
          <w:rFonts w:ascii="Arial" w:hAnsi="Arial" w:cs="Arial"/>
        </w:rPr>
        <w:t xml:space="preserve"> 2014</w:t>
      </w:r>
      <w:r w:rsidRPr="009B06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8642FD" w:rsidRPr="00796757" w:rsidRDefault="008642FD" w:rsidP="00103B3B">
      <w:pPr>
        <w:spacing w:after="0" w:line="240" w:lineRule="auto"/>
        <w:rPr>
          <w:rFonts w:ascii="Arial" w:hAnsi="Arial" w:cs="Arial"/>
        </w:rPr>
      </w:pPr>
    </w:p>
    <w:p w:rsidR="008642FD" w:rsidRPr="00796757" w:rsidRDefault="00796757" w:rsidP="00176A2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14/53 - </w:t>
      </w:r>
      <w:r w:rsidR="008642FD" w:rsidRPr="00796757">
        <w:rPr>
          <w:rFonts w:ascii="Arial" w:hAnsi="Arial" w:cs="Arial"/>
        </w:rPr>
        <w:t>Choice architecture</w:t>
      </w:r>
    </w:p>
    <w:p w:rsidR="00FD0DF2" w:rsidRPr="00796757" w:rsidRDefault="00FD0DF2" w:rsidP="00FD0DF2">
      <w:pPr>
        <w:spacing w:after="0" w:line="240" w:lineRule="auto"/>
        <w:rPr>
          <w:rFonts w:ascii="Arial" w:hAnsi="Arial" w:cs="Arial"/>
        </w:rPr>
      </w:pPr>
    </w:p>
    <w:p w:rsidR="00FD0DF2" w:rsidRPr="00796757" w:rsidRDefault="00FD0DF2" w:rsidP="00FD0DF2">
      <w:pPr>
        <w:spacing w:after="0" w:line="240" w:lineRule="auto"/>
        <w:rPr>
          <w:rFonts w:ascii="Arial" w:hAnsi="Arial" w:cs="Arial"/>
        </w:rPr>
      </w:pPr>
      <w:r w:rsidRPr="00796757">
        <w:rPr>
          <w:rFonts w:ascii="Arial" w:hAnsi="Arial" w:cs="Arial"/>
        </w:rPr>
        <w:t xml:space="preserve">The deadline for applications is 1pm, 4 August 2014.  </w:t>
      </w:r>
    </w:p>
    <w:p w:rsidR="00FD0DF2" w:rsidRPr="00796757" w:rsidRDefault="00FD0DF2" w:rsidP="00FD0DF2">
      <w:pPr>
        <w:spacing w:after="0" w:line="240" w:lineRule="auto"/>
        <w:rPr>
          <w:rFonts w:ascii="Arial" w:hAnsi="Arial" w:cs="Arial"/>
        </w:rPr>
      </w:pPr>
    </w:p>
    <w:p w:rsidR="008642FD" w:rsidRPr="00796757" w:rsidRDefault="00796757" w:rsidP="00176A2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14/67 - </w:t>
      </w:r>
      <w:r w:rsidR="008642FD" w:rsidRPr="00796757">
        <w:rPr>
          <w:rFonts w:ascii="Arial" w:hAnsi="Arial" w:cs="Arial"/>
        </w:rPr>
        <w:t>Weight management after pregnancy</w:t>
      </w:r>
    </w:p>
    <w:p w:rsidR="008642FD" w:rsidRPr="00796757" w:rsidRDefault="00796757" w:rsidP="0079675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14/54 - </w:t>
      </w:r>
      <w:r w:rsidRPr="00796757">
        <w:rPr>
          <w:rFonts w:ascii="Arial" w:hAnsi="Arial" w:cs="Arial"/>
        </w:rPr>
        <w:t>Health improvement interventions for offenders or ex-offenders under community supervision</w:t>
      </w:r>
    </w:p>
    <w:p w:rsidR="008642FD" w:rsidRPr="00796757" w:rsidRDefault="008642FD" w:rsidP="008642FD">
      <w:pPr>
        <w:spacing w:after="0" w:line="240" w:lineRule="auto"/>
        <w:rPr>
          <w:rFonts w:ascii="Arial" w:hAnsi="Arial" w:cs="Arial"/>
        </w:rPr>
      </w:pPr>
    </w:p>
    <w:p w:rsidR="008642FD" w:rsidRPr="00796757" w:rsidRDefault="008642FD" w:rsidP="008642FD">
      <w:pPr>
        <w:spacing w:after="0" w:line="240" w:lineRule="auto"/>
        <w:rPr>
          <w:rFonts w:ascii="Arial" w:hAnsi="Arial" w:cs="Arial"/>
        </w:rPr>
      </w:pPr>
      <w:r w:rsidRPr="00796757">
        <w:rPr>
          <w:rFonts w:ascii="Arial" w:hAnsi="Arial" w:cs="Arial"/>
        </w:rPr>
        <w:t>The deadline for applications is</w:t>
      </w:r>
      <w:r w:rsidR="00FD0DF2" w:rsidRPr="00796757">
        <w:rPr>
          <w:rFonts w:ascii="Arial" w:hAnsi="Arial" w:cs="Arial"/>
        </w:rPr>
        <w:t xml:space="preserve"> 1pm, 1 September 2014.</w:t>
      </w:r>
    </w:p>
    <w:p w:rsidR="008642FD" w:rsidRDefault="008642FD" w:rsidP="00103B3B">
      <w:pPr>
        <w:spacing w:after="0" w:line="240" w:lineRule="auto"/>
        <w:rPr>
          <w:rFonts w:ascii="Arial" w:hAnsi="Arial" w:cs="Arial"/>
        </w:rPr>
      </w:pPr>
    </w:p>
    <w:p w:rsidR="00651DAA" w:rsidRPr="00103B3B" w:rsidRDefault="009B061E" w:rsidP="00103B3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5" w:history="1">
        <w:r w:rsidR="00E14AB5" w:rsidRPr="008D6E10">
          <w:rPr>
            <w:rStyle w:val="Hyperlink"/>
            <w:rFonts w:ascii="Arial" w:hAnsi="Arial" w:cs="Arial"/>
          </w:rPr>
          <w:t>www.nets.nihr.ac.uk/funding/phr-commissioned</w:t>
        </w:r>
      </w:hyperlink>
      <w:r w:rsidR="00990D11">
        <w:rPr>
          <w:rFonts w:ascii="Arial" w:hAnsi="Arial" w:cs="Arial"/>
        </w:rPr>
        <w:t xml:space="preserve"> </w:t>
      </w:r>
    </w:p>
    <w:p w:rsidR="00651DAA" w:rsidRDefault="00651DAA" w:rsidP="00DE6CD0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DE6CD0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Researcher-led proposals:</w:t>
      </w:r>
    </w:p>
    <w:p w:rsidR="00F20515" w:rsidRDefault="009B061E" w:rsidP="00FA2252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="005056E8">
        <w:rPr>
          <w:rFonts w:ascii="Arial" w:hAnsi="Arial" w:cs="Arial"/>
        </w:rPr>
        <w:t>The PHR P</w:t>
      </w:r>
      <w:r w:rsidRPr="009B061E">
        <w:rPr>
          <w:rFonts w:ascii="Arial" w:hAnsi="Arial" w:cs="Arial"/>
        </w:rPr>
        <w:t>rogramme is accepting applications to its researcher-led workstream</w:t>
      </w:r>
      <w:r w:rsidRPr="003F0F8B">
        <w:rPr>
          <w:rFonts w:ascii="Arial" w:hAnsi="Arial" w:cs="Arial"/>
        </w:rPr>
        <w:t xml:space="preserve">. </w:t>
      </w:r>
      <w:r w:rsidR="00870BC0" w:rsidRPr="003F0F8B">
        <w:rPr>
          <w:rFonts w:ascii="Arial" w:hAnsi="Arial" w:cs="Arial"/>
        </w:rPr>
        <w:t>For thi</w:t>
      </w:r>
      <w:r w:rsidR="00FA2252" w:rsidRPr="003F0F8B">
        <w:rPr>
          <w:rFonts w:ascii="Arial" w:hAnsi="Arial" w:cs="Arial"/>
        </w:rPr>
        <w:t xml:space="preserve">s </w:t>
      </w:r>
      <w:r w:rsidR="00870BC0" w:rsidRPr="003F0F8B">
        <w:rPr>
          <w:rFonts w:ascii="Arial" w:hAnsi="Arial" w:cs="Arial"/>
        </w:rPr>
        <w:t xml:space="preserve">round, </w:t>
      </w:r>
      <w:r w:rsidR="00FA2252" w:rsidRPr="003F0F8B">
        <w:rPr>
          <w:rFonts w:ascii="Arial" w:hAnsi="Arial" w:cs="Arial"/>
        </w:rPr>
        <w:t>the programme is interested in receiving outline applications</w:t>
      </w:r>
      <w:r w:rsidR="00F20515">
        <w:rPr>
          <w:rFonts w:ascii="Arial" w:hAnsi="Arial" w:cs="Arial"/>
        </w:rPr>
        <w:t xml:space="preserve"> in the following areas:</w:t>
      </w:r>
    </w:p>
    <w:p w:rsidR="00F20515" w:rsidRPr="00B6194E" w:rsidRDefault="00F20515" w:rsidP="00FA2252">
      <w:pPr>
        <w:spacing w:after="0" w:line="240" w:lineRule="auto"/>
        <w:rPr>
          <w:rFonts w:ascii="Arial" w:hAnsi="Arial" w:cs="Arial"/>
          <w:color w:val="FF0000"/>
        </w:rPr>
      </w:pPr>
    </w:p>
    <w:p w:rsidR="009640B9" w:rsidRPr="003F3D73" w:rsidRDefault="00D72988" w:rsidP="00F2051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3F3D73">
        <w:rPr>
          <w:rFonts w:ascii="Arial" w:hAnsi="Arial" w:cs="Arial"/>
        </w:rPr>
        <w:t>Evaluating public health interventions by utilising p</w:t>
      </w:r>
      <w:r w:rsidR="00F20515" w:rsidRPr="003F3D73">
        <w:rPr>
          <w:rFonts w:ascii="Arial" w:hAnsi="Arial" w:cs="Arial"/>
        </w:rPr>
        <w:t>re-existing</w:t>
      </w:r>
      <w:r w:rsidR="002C436C" w:rsidRPr="003F3D73">
        <w:rPr>
          <w:rFonts w:ascii="Arial" w:hAnsi="Arial" w:cs="Arial"/>
        </w:rPr>
        <w:t xml:space="preserve"> data</w:t>
      </w:r>
    </w:p>
    <w:p w:rsidR="00176A2B" w:rsidRPr="003F3D73" w:rsidRDefault="00176A2B" w:rsidP="003F3D73">
      <w:pPr>
        <w:pStyle w:val="ListParagraph"/>
        <w:spacing w:after="0" w:line="240" w:lineRule="auto"/>
        <w:rPr>
          <w:rFonts w:ascii="Arial" w:hAnsi="Arial" w:cs="Arial"/>
        </w:rPr>
      </w:pPr>
    </w:p>
    <w:p w:rsidR="009640B9" w:rsidRPr="003F3D73" w:rsidRDefault="009640B9" w:rsidP="00FA2252">
      <w:pPr>
        <w:spacing w:after="0" w:line="240" w:lineRule="auto"/>
        <w:rPr>
          <w:rFonts w:ascii="Arial" w:hAnsi="Arial" w:cs="Arial"/>
        </w:rPr>
      </w:pPr>
    </w:p>
    <w:p w:rsidR="003F3D73" w:rsidRPr="003F3D73" w:rsidRDefault="00B359F8" w:rsidP="003F3D73">
      <w:pPr>
        <w:spacing w:after="0" w:line="240" w:lineRule="auto"/>
        <w:rPr>
          <w:rFonts w:ascii="Arial" w:hAnsi="Arial" w:cs="Arial"/>
          <w:b/>
          <w:bCs/>
        </w:rPr>
      </w:pPr>
      <w:r w:rsidRPr="003F3D73">
        <w:rPr>
          <w:rFonts w:ascii="Arial" w:hAnsi="Arial" w:cs="Arial"/>
        </w:rPr>
        <w:t xml:space="preserve">The deadline </w:t>
      </w:r>
      <w:r w:rsidR="00103B3B" w:rsidRPr="003F3D73">
        <w:rPr>
          <w:rFonts w:ascii="Arial" w:hAnsi="Arial" w:cs="Arial"/>
        </w:rPr>
        <w:t>for applications is</w:t>
      </w:r>
      <w:r w:rsidR="009B061E" w:rsidRPr="003F3D73">
        <w:rPr>
          <w:rFonts w:ascii="Arial" w:hAnsi="Arial" w:cs="Arial"/>
          <w:b/>
          <w:bCs/>
        </w:rPr>
        <w:t xml:space="preserve"> </w:t>
      </w:r>
      <w:r w:rsidR="00103B3B" w:rsidRPr="00FB0E70">
        <w:rPr>
          <w:rFonts w:ascii="Arial" w:hAnsi="Arial" w:cs="Arial"/>
        </w:rPr>
        <w:t xml:space="preserve">1pm, </w:t>
      </w:r>
      <w:r w:rsidR="00FD0DF2" w:rsidRPr="00FB0E70">
        <w:rPr>
          <w:rFonts w:ascii="Arial" w:hAnsi="Arial" w:cs="Arial"/>
        </w:rPr>
        <w:t xml:space="preserve">4 August </w:t>
      </w:r>
      <w:r w:rsidR="00103B3B" w:rsidRPr="00FB0E70">
        <w:rPr>
          <w:rFonts w:ascii="Arial" w:hAnsi="Arial" w:cs="Arial"/>
        </w:rPr>
        <w:t>2014</w:t>
      </w:r>
      <w:r w:rsidR="009B061E" w:rsidRPr="00FB0E70">
        <w:rPr>
          <w:rFonts w:ascii="Arial" w:hAnsi="Arial" w:cs="Arial"/>
        </w:rPr>
        <w:t>.</w:t>
      </w:r>
      <w:r w:rsidR="009B061E" w:rsidRPr="003F3D73">
        <w:rPr>
          <w:rFonts w:ascii="Arial" w:hAnsi="Arial" w:cs="Arial"/>
          <w:b/>
          <w:bCs/>
        </w:rPr>
        <w:t xml:space="preserve">  </w:t>
      </w:r>
    </w:p>
    <w:p w:rsidR="00630708" w:rsidRDefault="009B061E" w:rsidP="001D0484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6" w:history="1">
        <w:r w:rsidR="00E14AB5" w:rsidRPr="008D6E10">
          <w:rPr>
            <w:rStyle w:val="Hyperlink"/>
            <w:rFonts w:ascii="Arial" w:hAnsi="Arial" w:cs="Arial"/>
          </w:rPr>
          <w:t>www.nets.nihr.ac.uk/funding/phr-researcher-led</w:t>
        </w:r>
      </w:hyperlink>
      <w:r w:rsidR="00630708">
        <w:rPr>
          <w:rFonts w:ascii="Arial" w:hAnsi="Arial" w:cs="Arial"/>
        </w:rPr>
        <w:t xml:space="preserve"> </w:t>
      </w:r>
    </w:p>
    <w:p w:rsidR="00440E17" w:rsidRDefault="00440E17" w:rsidP="001D0484">
      <w:pPr>
        <w:spacing w:after="0" w:line="240" w:lineRule="auto"/>
        <w:rPr>
          <w:rFonts w:ascii="Arial" w:hAnsi="Arial" w:cs="Arial"/>
        </w:rPr>
      </w:pPr>
    </w:p>
    <w:p w:rsidR="00440E17" w:rsidRDefault="00440E17" w:rsidP="001D0484">
      <w:pPr>
        <w:spacing w:after="0" w:line="240" w:lineRule="auto"/>
        <w:rPr>
          <w:rFonts w:ascii="Arial" w:hAnsi="Arial" w:cs="Arial"/>
        </w:rPr>
      </w:pPr>
    </w:p>
    <w:p w:rsidR="00440E17" w:rsidRDefault="00440E17" w:rsidP="001D048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440E17">
        <w:rPr>
          <w:rFonts w:ascii="Arial" w:hAnsi="Arial" w:cs="Arial"/>
          <w:b/>
          <w:bCs/>
          <w:u w:val="single"/>
        </w:rPr>
        <w:t>NIHR Themed Call – Long-term conditions in children and young people</w:t>
      </w:r>
    </w:p>
    <w:p w:rsidR="00440E17" w:rsidRDefault="00440E17" w:rsidP="001D048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7E10E7" w:rsidRPr="007E10E7" w:rsidRDefault="007E10E7" w:rsidP="00C47B57">
      <w:pPr>
        <w:jc w:val="both"/>
        <w:rPr>
          <w:rFonts w:ascii="Arial" w:hAnsi="Arial" w:cs="Arial"/>
        </w:rPr>
      </w:pPr>
      <w:r w:rsidRPr="007D7D33">
        <w:rPr>
          <w:rFonts w:ascii="Arial" w:hAnsi="Arial" w:cs="Arial"/>
        </w:rPr>
        <w:t>The National Institute</w:t>
      </w:r>
      <w:r>
        <w:rPr>
          <w:rFonts w:ascii="Arial" w:hAnsi="Arial" w:cs="Arial"/>
        </w:rPr>
        <w:t xml:space="preserve"> for Health Research (NIHR) </w:t>
      </w:r>
      <w:r w:rsidR="00C47B57">
        <w:rPr>
          <w:rFonts w:ascii="Arial" w:hAnsi="Arial" w:cs="Arial"/>
        </w:rPr>
        <w:t>has issued</w:t>
      </w:r>
      <w:r w:rsidRPr="007D7D33">
        <w:rPr>
          <w:rFonts w:ascii="Arial" w:hAnsi="Arial" w:cs="Arial"/>
        </w:rPr>
        <w:t xml:space="preserve"> a call </w:t>
      </w:r>
      <w:r w:rsidRPr="007D7D33">
        <w:rPr>
          <w:rFonts w:ascii="Arial" w:hAnsi="Arial" w:cs="Arial"/>
          <w:iCs/>
        </w:rPr>
        <w:t xml:space="preserve">for evaluative research </w:t>
      </w:r>
      <w:r>
        <w:rPr>
          <w:rFonts w:ascii="Arial" w:hAnsi="Arial" w:cs="Arial"/>
          <w:iCs/>
        </w:rPr>
        <w:t>for</w:t>
      </w:r>
      <w:r w:rsidRPr="007D7D3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long-</w:t>
      </w:r>
      <w:r w:rsidRPr="007D7D33">
        <w:rPr>
          <w:rFonts w:ascii="Arial" w:hAnsi="Arial" w:cs="Arial"/>
        </w:rPr>
        <w:t xml:space="preserve">term conditions in </w:t>
      </w:r>
      <w:r>
        <w:rPr>
          <w:rFonts w:ascii="Arial" w:hAnsi="Arial" w:cs="Arial"/>
          <w:iCs/>
        </w:rPr>
        <w:t>children and young people</w:t>
      </w:r>
      <w:r w:rsidRPr="007D7D33">
        <w:rPr>
          <w:rFonts w:ascii="Arial" w:hAnsi="Arial" w:cs="Arial"/>
        </w:rPr>
        <w:t xml:space="preserve">. </w:t>
      </w:r>
      <w:r w:rsidRPr="007D7D33">
        <w:rPr>
          <w:rFonts w:ascii="Arial" w:eastAsia="Times New Roman" w:hAnsi="Arial" w:cs="Arial"/>
          <w:bCs/>
        </w:rPr>
        <w:t>The research should a</w:t>
      </w:r>
      <w:r>
        <w:rPr>
          <w:rFonts w:ascii="Arial" w:eastAsia="Times New Roman" w:hAnsi="Arial" w:cs="Arial"/>
          <w:bCs/>
        </w:rPr>
        <w:t xml:space="preserve">im to provide the evidence base </w:t>
      </w:r>
      <w:r w:rsidRPr="007D7D33">
        <w:rPr>
          <w:rFonts w:ascii="Arial" w:eastAsia="Times New Roman" w:hAnsi="Arial" w:cs="Arial"/>
          <w:bCs/>
        </w:rPr>
        <w:t>to improve the health outcomes for children</w:t>
      </w:r>
      <w:r>
        <w:rPr>
          <w:rFonts w:ascii="Arial" w:eastAsia="Times New Roman" w:hAnsi="Arial" w:cs="Arial"/>
          <w:bCs/>
        </w:rPr>
        <w:t xml:space="preserve"> and young people</w:t>
      </w:r>
      <w:r w:rsidRPr="007D7D33">
        <w:rPr>
          <w:rFonts w:ascii="Arial" w:eastAsia="Times New Roman" w:hAnsi="Arial" w:cs="Arial"/>
          <w:bCs/>
        </w:rPr>
        <w:t xml:space="preserve"> that result fr</w:t>
      </w:r>
      <w:r>
        <w:rPr>
          <w:rFonts w:ascii="Arial" w:eastAsia="Times New Roman" w:hAnsi="Arial" w:cs="Arial"/>
          <w:bCs/>
        </w:rPr>
        <w:t>om long-term conditions</w:t>
      </w:r>
      <w:r w:rsidRPr="007D7D3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call is in support of the annual report of the Chief Medical Officer 2012 entitled “Our Children Deserve Better: Prevention Pays”. </w:t>
      </w:r>
    </w:p>
    <w:p w:rsidR="007E10E7" w:rsidRPr="0078059F" w:rsidRDefault="007E10E7" w:rsidP="007E10E7">
      <w:pPr>
        <w:ind w:right="206"/>
        <w:jc w:val="both"/>
        <w:rPr>
          <w:rFonts w:ascii="Arial" w:hAnsi="Arial" w:cs="Arial"/>
        </w:rPr>
      </w:pPr>
      <w:r w:rsidRPr="0078059F">
        <w:rPr>
          <w:rFonts w:ascii="Arial" w:hAnsi="Arial" w:cs="Arial"/>
        </w:rPr>
        <w:t>This call is a key component of the NIHR response t</w:t>
      </w:r>
      <w:r>
        <w:rPr>
          <w:rFonts w:ascii="Arial" w:hAnsi="Arial" w:cs="Arial"/>
        </w:rPr>
        <w:t>o the need for further research-</w:t>
      </w:r>
      <w:r w:rsidRPr="0078059F">
        <w:rPr>
          <w:rFonts w:ascii="Arial" w:hAnsi="Arial" w:cs="Arial"/>
        </w:rPr>
        <w:t xml:space="preserve">based evidence </w:t>
      </w:r>
      <w:r>
        <w:rPr>
          <w:rFonts w:ascii="Arial" w:hAnsi="Arial" w:cs="Arial"/>
        </w:rPr>
        <w:t>for long-</w:t>
      </w:r>
      <w:r w:rsidRPr="0078059F">
        <w:rPr>
          <w:rFonts w:ascii="Arial" w:hAnsi="Arial" w:cs="Arial"/>
        </w:rPr>
        <w:t xml:space="preserve">term conditions </w:t>
      </w:r>
      <w:r>
        <w:rPr>
          <w:rFonts w:ascii="Arial" w:hAnsi="Arial" w:cs="Arial"/>
        </w:rPr>
        <w:t>in children and young people</w:t>
      </w:r>
      <w:r w:rsidRPr="007805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up to the age of 25 </w:t>
      </w:r>
      <w:r w:rsidRPr="0078059F">
        <w:rPr>
          <w:rFonts w:ascii="Arial" w:hAnsi="Arial" w:cs="Arial"/>
        </w:rPr>
        <w:t>through:</w:t>
      </w:r>
    </w:p>
    <w:p w:rsidR="007E10E7" w:rsidRPr="0078059F" w:rsidRDefault="007E10E7" w:rsidP="007E10E7">
      <w:pPr>
        <w:pStyle w:val="ListParagraph"/>
        <w:numPr>
          <w:ilvl w:val="0"/>
          <w:numId w:val="11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supporting capacity building across a wide range of dis</w:t>
      </w:r>
      <w:r>
        <w:rPr>
          <w:rFonts w:ascii="Arial" w:hAnsi="Arial" w:cs="Arial"/>
        </w:rPr>
        <w:t>ciplines working with children’s</w:t>
      </w:r>
      <w:r w:rsidRPr="0078059F">
        <w:rPr>
          <w:rFonts w:ascii="Arial" w:hAnsi="Arial" w:cs="Arial"/>
        </w:rPr>
        <w:t xml:space="preserve"> health and disabilities;</w:t>
      </w:r>
    </w:p>
    <w:p w:rsidR="007E10E7" w:rsidRDefault="007E10E7" w:rsidP="007E10E7">
      <w:pPr>
        <w:pStyle w:val="ListParagraph"/>
        <w:numPr>
          <w:ilvl w:val="0"/>
          <w:numId w:val="11"/>
        </w:numPr>
        <w:spacing w:after="0" w:line="240" w:lineRule="auto"/>
        <w:ind w:right="206"/>
        <w:rPr>
          <w:rFonts w:ascii="Arial" w:hAnsi="Arial" w:cs="Arial"/>
        </w:rPr>
      </w:pPr>
      <w:proofErr w:type="gramStart"/>
      <w:r w:rsidRPr="0078059F">
        <w:rPr>
          <w:rFonts w:ascii="Arial" w:hAnsi="Arial" w:cs="Arial"/>
        </w:rPr>
        <w:t>increasing</w:t>
      </w:r>
      <w:proofErr w:type="gramEnd"/>
      <w:r w:rsidRPr="0078059F">
        <w:rPr>
          <w:rFonts w:ascii="Arial" w:hAnsi="Arial" w:cs="Arial"/>
        </w:rPr>
        <w:t xml:space="preserve"> the volume of high-quality research on the efficacy, effectiveness, delivery and organisation of interventions and services for children</w:t>
      </w:r>
      <w:r>
        <w:rPr>
          <w:rFonts w:ascii="Arial" w:hAnsi="Arial" w:cs="Arial"/>
        </w:rPr>
        <w:t xml:space="preserve"> and young people</w:t>
      </w:r>
      <w:r w:rsidRPr="0078059F">
        <w:rPr>
          <w:rFonts w:ascii="Arial" w:hAnsi="Arial" w:cs="Arial"/>
        </w:rPr>
        <w:t>.</w:t>
      </w:r>
    </w:p>
    <w:p w:rsidR="007E10E7" w:rsidRPr="007E10E7" w:rsidRDefault="007E10E7" w:rsidP="007E10E7">
      <w:pPr>
        <w:spacing w:after="0" w:line="240" w:lineRule="auto"/>
        <w:ind w:left="360" w:right="206"/>
        <w:rPr>
          <w:rFonts w:ascii="Arial" w:hAnsi="Arial" w:cs="Arial"/>
        </w:rPr>
      </w:pPr>
    </w:p>
    <w:p w:rsidR="007E10E7" w:rsidRPr="0078059F" w:rsidRDefault="007E10E7" w:rsidP="007E10E7">
      <w:pPr>
        <w:ind w:right="206"/>
        <w:rPr>
          <w:rFonts w:ascii="Arial" w:hAnsi="Arial" w:cs="Arial"/>
        </w:rPr>
      </w:pPr>
      <w:r>
        <w:rPr>
          <w:rFonts w:ascii="Arial" w:hAnsi="Arial" w:cs="Arial"/>
        </w:rPr>
        <w:t xml:space="preserve">The following </w:t>
      </w:r>
      <w:r w:rsidRPr="0078059F">
        <w:rPr>
          <w:rFonts w:ascii="Arial" w:hAnsi="Arial" w:cs="Arial"/>
        </w:rPr>
        <w:t xml:space="preserve">NIHR managed research programmes will be participating: 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Efficacy and Mechanism Evaluation (EME)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Health Services and Delivery Research (HS&amp;DR)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Health Technology Assessment (HTA)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Invention for Innovation (i4i)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Programme Grants for Applied Research (</w:t>
      </w:r>
      <w:proofErr w:type="spellStart"/>
      <w:r w:rsidRPr="0078059F">
        <w:rPr>
          <w:rFonts w:ascii="Arial" w:hAnsi="Arial" w:cs="Arial"/>
        </w:rPr>
        <w:t>PGfAR</w:t>
      </w:r>
      <w:proofErr w:type="spellEnd"/>
      <w:r w:rsidRPr="0078059F">
        <w:rPr>
          <w:rFonts w:ascii="Arial" w:hAnsi="Arial" w:cs="Arial"/>
        </w:rPr>
        <w:t>)</w:t>
      </w:r>
    </w:p>
    <w:p w:rsidR="007E10E7" w:rsidRPr="0078059F" w:rsidRDefault="007E10E7" w:rsidP="00493738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Public Health Research (PHR)</w:t>
      </w:r>
    </w:p>
    <w:p w:rsidR="007A1B77" w:rsidRPr="007A1B77" w:rsidRDefault="007E10E7" w:rsidP="001D0484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  <w:b/>
          <w:bCs/>
          <w:u w:val="single"/>
        </w:rPr>
      </w:pPr>
      <w:r w:rsidRPr="007A1B77">
        <w:rPr>
          <w:rFonts w:ascii="Arial" w:hAnsi="Arial" w:cs="Arial"/>
        </w:rPr>
        <w:t>Research for Patient Benefit (</w:t>
      </w:r>
      <w:proofErr w:type="spellStart"/>
      <w:r w:rsidRPr="007A1B77">
        <w:rPr>
          <w:rFonts w:ascii="Arial" w:hAnsi="Arial" w:cs="Arial"/>
        </w:rPr>
        <w:t>RfPB</w:t>
      </w:r>
      <w:proofErr w:type="spellEnd"/>
      <w:r w:rsidRPr="007A1B77">
        <w:rPr>
          <w:rFonts w:ascii="Arial" w:hAnsi="Arial" w:cs="Arial"/>
        </w:rPr>
        <w:t>)</w:t>
      </w:r>
    </w:p>
    <w:p w:rsidR="007A1B77" w:rsidRDefault="007A1B77" w:rsidP="007A1B77">
      <w:pPr>
        <w:spacing w:after="0" w:line="240" w:lineRule="auto"/>
        <w:ind w:right="206"/>
        <w:rPr>
          <w:rFonts w:ascii="Arial" w:hAnsi="Arial" w:cs="Arial"/>
          <w:b/>
          <w:bCs/>
          <w:u w:val="single"/>
        </w:rPr>
      </w:pPr>
    </w:p>
    <w:p w:rsidR="003E64E5" w:rsidRPr="007A1B77" w:rsidRDefault="007A1B77" w:rsidP="007A1B77">
      <w:pPr>
        <w:spacing w:after="0" w:line="240" w:lineRule="auto"/>
        <w:ind w:right="206"/>
        <w:rPr>
          <w:rFonts w:ascii="Arial" w:hAnsi="Arial" w:cs="Arial"/>
        </w:rPr>
      </w:pPr>
      <w:r w:rsidRPr="007A1B77">
        <w:rPr>
          <w:rFonts w:ascii="Arial" w:hAnsi="Arial" w:cs="Arial"/>
        </w:rPr>
        <w:t xml:space="preserve">The deadline for applications is </w:t>
      </w:r>
      <w:r w:rsidRPr="007C3806">
        <w:rPr>
          <w:rFonts w:ascii="Arial" w:hAnsi="Arial" w:cs="Arial"/>
        </w:rPr>
        <w:t>21 May 2014.</w:t>
      </w:r>
    </w:p>
    <w:p w:rsidR="003E64E5" w:rsidRPr="003E64E5" w:rsidRDefault="003E64E5" w:rsidP="004937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find out more, please visit </w:t>
      </w:r>
      <w:r w:rsidR="00850EF7">
        <w:rPr>
          <w:rFonts w:ascii="Arial" w:hAnsi="Arial" w:cs="Arial"/>
        </w:rPr>
        <w:t xml:space="preserve">the NIHR website: </w:t>
      </w:r>
      <w:hyperlink r:id="rId17" w:history="1">
        <w:r w:rsidR="00850EF7" w:rsidRPr="009F2C59">
          <w:rPr>
            <w:rStyle w:val="Hyperlink"/>
            <w:rFonts w:ascii="Arial" w:hAnsi="Arial" w:cs="Arial"/>
          </w:rPr>
          <w:t>www.themedcalls.nihr.ac.uk/children</w:t>
        </w:r>
      </w:hyperlink>
    </w:p>
    <w:sectPr w:rsidR="003E64E5" w:rsidRPr="003E64E5" w:rsidSect="002F7F5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92" w:rsidRDefault="008C1992">
      <w:r>
        <w:separator/>
      </w:r>
    </w:p>
  </w:endnote>
  <w:endnote w:type="continuationSeparator" w:id="0">
    <w:p w:rsidR="008C1992" w:rsidRDefault="008C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452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861" w:rsidRDefault="00E818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8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70A1" w:rsidRPr="00236E1A" w:rsidRDefault="00BA70A1" w:rsidP="00D2190C">
    <w:pPr>
      <w:pStyle w:val="NormalParagraphSty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1E0" w:firstRow="1" w:lastRow="1" w:firstColumn="1" w:lastColumn="1" w:noHBand="0" w:noVBand="0"/>
    </w:tblPr>
    <w:tblGrid>
      <w:gridCol w:w="4272"/>
      <w:gridCol w:w="2496"/>
      <w:gridCol w:w="2304"/>
    </w:tblGrid>
    <w:tr w:rsidR="00BA70A1" w:rsidRPr="009D3E27" w:rsidTr="00290A0F">
      <w:tc>
        <w:tcPr>
          <w:tcW w:w="9072" w:type="dxa"/>
          <w:gridSpan w:val="3"/>
          <w:shd w:val="clear" w:color="auto" w:fill="auto"/>
        </w:tcPr>
        <w:p w:rsidR="00BA70A1" w:rsidRPr="009D3E27" w:rsidRDefault="00290A0F" w:rsidP="00EE371F">
          <w:pPr>
            <w:ind w:right="206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The NIHR Evaluation, Trials and Studies Coordinating Centre (NETSCC), based at the University of Southampton, manages evaluation research programmes and activities for the NIHR</w:t>
          </w:r>
          <w:r w:rsidR="00BA70A1" w:rsidRPr="009D3E27">
            <w:rPr>
              <w:rFonts w:ascii="Arial" w:hAnsi="Arial"/>
              <w:b/>
              <w:sz w:val="14"/>
              <w:szCs w:val="14"/>
            </w:rPr>
            <w:br/>
          </w:r>
        </w:p>
      </w:tc>
    </w:tr>
    <w:tr w:rsidR="00BA70A1" w:rsidRPr="007C3806" w:rsidTr="00290A0F">
      <w:tc>
        <w:tcPr>
          <w:tcW w:w="4320" w:type="dxa"/>
          <w:shd w:val="clear" w:color="auto" w:fill="auto"/>
        </w:tcPr>
        <w:p w:rsidR="00BA70A1" w:rsidRPr="009D3E27" w:rsidRDefault="00290A0F" w:rsidP="00EE371F">
          <w:pPr>
            <w:ind w:right="206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National Institute for Health Research </w:t>
          </w:r>
          <w:r w:rsidR="00344BBD">
            <w:rPr>
              <w:rFonts w:ascii="Arial" w:hAnsi="Arial" w:cs="Arial"/>
              <w:sz w:val="14"/>
              <w:szCs w:val="16"/>
            </w:rPr>
            <w:br/>
          </w:r>
          <w:r>
            <w:rPr>
              <w:rFonts w:ascii="Arial" w:hAnsi="Arial" w:cs="Arial"/>
              <w:sz w:val="14"/>
              <w:szCs w:val="16"/>
            </w:rPr>
            <w:t>Evaluation, Trials and Studies Coordinating Centre</w:t>
          </w:r>
        </w:p>
      </w:tc>
      <w:tc>
        <w:tcPr>
          <w:tcW w:w="2520" w:type="dxa"/>
          <w:shd w:val="clear" w:color="auto" w:fill="auto"/>
        </w:tcPr>
        <w:p w:rsidR="00BA70A1" w:rsidRPr="00D2190C" w:rsidRDefault="00BA70A1" w:rsidP="00EE371F">
          <w:pPr>
            <w:ind w:right="206"/>
          </w:pPr>
          <w:proofErr w:type="spellStart"/>
          <w:r w:rsidRPr="009D3E27">
            <w:rPr>
              <w:rFonts w:ascii="Arial" w:hAnsi="Arial" w:cs="Arial"/>
              <w:sz w:val="14"/>
              <w:szCs w:val="16"/>
            </w:rPr>
            <w:t>tel</w:t>
          </w:r>
          <w:proofErr w:type="spellEnd"/>
          <w:r w:rsidRPr="009D3E27">
            <w:rPr>
              <w:rFonts w:ascii="Arial" w:hAnsi="Arial" w:cs="Arial"/>
              <w:sz w:val="14"/>
              <w:szCs w:val="16"/>
            </w:rPr>
            <w:t>: +44(0)23 8059 5586</w:t>
          </w:r>
        </w:p>
      </w:tc>
      <w:tc>
        <w:tcPr>
          <w:tcW w:w="2232" w:type="dxa"/>
          <w:shd w:val="clear" w:color="auto" w:fill="auto"/>
        </w:tcPr>
        <w:p w:rsidR="00BA70A1" w:rsidRPr="00BA70A1" w:rsidRDefault="00BA70A1" w:rsidP="00EE371F">
          <w:pPr>
            <w:ind w:right="206"/>
            <w:rPr>
              <w:lang w:val="fr-FR"/>
            </w:rPr>
          </w:pPr>
          <w:r w:rsidRPr="00BA70A1">
            <w:rPr>
              <w:rFonts w:ascii="Arial" w:hAnsi="Arial" w:cs="Arial"/>
              <w:sz w:val="14"/>
              <w:szCs w:val="16"/>
              <w:lang w:val="fr-FR"/>
            </w:rPr>
            <w:t>email: info@netscc.ac.uk</w:t>
          </w:r>
        </w:p>
      </w:tc>
    </w:tr>
    <w:tr w:rsidR="00BA70A1" w:rsidRPr="009D3E27" w:rsidTr="00290A0F">
      <w:tc>
        <w:tcPr>
          <w:tcW w:w="4320" w:type="dxa"/>
          <w:shd w:val="clear" w:color="auto" w:fill="auto"/>
        </w:tcPr>
        <w:p w:rsidR="00BA70A1" w:rsidRDefault="00290A0F" w:rsidP="00941FFD">
          <w:pPr>
            <w:pStyle w:val="NormalParagraphStyle"/>
            <w:spacing w:line="240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University of Southampton, Alpha House</w:t>
          </w:r>
        </w:p>
        <w:p w:rsidR="00290A0F" w:rsidRPr="009D3E27" w:rsidRDefault="00290A0F" w:rsidP="00941FFD">
          <w:pPr>
            <w:pStyle w:val="NormalParagraphStyle"/>
            <w:spacing w:line="240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Enterprise Road, Southampton, SO16 7NS</w:t>
          </w:r>
        </w:p>
      </w:tc>
      <w:tc>
        <w:tcPr>
          <w:tcW w:w="2520" w:type="dxa"/>
          <w:shd w:val="clear" w:color="auto" w:fill="auto"/>
        </w:tcPr>
        <w:p w:rsidR="00BA70A1" w:rsidRPr="00D2190C" w:rsidRDefault="00BA70A1" w:rsidP="00EE371F">
          <w:pPr>
            <w:ind w:right="206"/>
          </w:pPr>
          <w:r w:rsidRPr="009D3E27">
            <w:rPr>
              <w:rFonts w:ascii="Arial" w:hAnsi="Arial" w:cs="Arial"/>
              <w:sz w:val="14"/>
              <w:szCs w:val="16"/>
            </w:rPr>
            <w:t>fax: +44(0)23 8059 5639</w:t>
          </w:r>
        </w:p>
      </w:tc>
      <w:tc>
        <w:tcPr>
          <w:tcW w:w="2232" w:type="dxa"/>
          <w:shd w:val="clear" w:color="auto" w:fill="auto"/>
        </w:tcPr>
        <w:p w:rsidR="00BA70A1" w:rsidRPr="009D3E27" w:rsidRDefault="00BA70A1" w:rsidP="00EE371F">
          <w:pPr>
            <w:pStyle w:val="NormalParagraphStyle"/>
            <w:ind w:right="539"/>
            <w:rPr>
              <w:rFonts w:ascii="Arial" w:hAnsi="Arial" w:cs="Arial"/>
              <w:sz w:val="14"/>
              <w:szCs w:val="14"/>
            </w:rPr>
          </w:pPr>
          <w:r w:rsidRPr="009D3E27">
            <w:rPr>
              <w:rFonts w:ascii="Arial" w:hAnsi="Arial" w:cs="Arial"/>
              <w:sz w:val="14"/>
              <w:szCs w:val="14"/>
            </w:rPr>
            <w:t>web:</w:t>
          </w:r>
          <w:hyperlink r:id="rId1" w:history="1">
            <w:r w:rsidR="004C291E" w:rsidRPr="002356DA">
              <w:rPr>
                <w:rStyle w:val="Hyperlink"/>
                <w:rFonts w:ascii="Arial" w:hAnsi="Arial" w:cs="Arial"/>
                <w:sz w:val="14"/>
                <w:szCs w:val="14"/>
              </w:rPr>
              <w:t>www.nets.nihr.ac.uk</w:t>
            </w:r>
          </w:hyperlink>
        </w:p>
      </w:tc>
    </w:tr>
  </w:tbl>
  <w:p w:rsidR="00BA70A1" w:rsidRDefault="00BA70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92" w:rsidRDefault="008C1992">
      <w:r>
        <w:separator/>
      </w:r>
    </w:p>
  </w:footnote>
  <w:footnote w:type="continuationSeparator" w:id="0">
    <w:p w:rsidR="008C1992" w:rsidRDefault="008C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A1" w:rsidRDefault="00BA70A1" w:rsidP="00BA70A1">
    <w:pPr>
      <w:pStyle w:val="Header"/>
      <w:ind w:left="-1418"/>
    </w:pPr>
  </w:p>
  <w:p w:rsidR="00BA70A1" w:rsidRDefault="00BA70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A1" w:rsidRDefault="002D303F" w:rsidP="00BA70A1">
    <w:pPr>
      <w:pStyle w:val="Header"/>
      <w:ind w:left="-1418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EAC352" wp14:editId="7253EE7D">
          <wp:simplePos x="0" y="0"/>
          <wp:positionH relativeFrom="column">
            <wp:posOffset>4445</wp:posOffset>
          </wp:positionH>
          <wp:positionV relativeFrom="paragraph">
            <wp:posOffset>95250</wp:posOffset>
          </wp:positionV>
          <wp:extent cx="5724525" cy="1139190"/>
          <wp:effectExtent l="0" t="0" r="952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tscc_doc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113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DA1"/>
    <w:multiLevelType w:val="hybridMultilevel"/>
    <w:tmpl w:val="288AC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3CC1"/>
    <w:multiLevelType w:val="hybridMultilevel"/>
    <w:tmpl w:val="10FA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A6A33"/>
    <w:multiLevelType w:val="hybridMultilevel"/>
    <w:tmpl w:val="D188C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73E53"/>
    <w:multiLevelType w:val="hybridMultilevel"/>
    <w:tmpl w:val="4F5CD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D0361"/>
    <w:multiLevelType w:val="hybridMultilevel"/>
    <w:tmpl w:val="7C88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B610D"/>
    <w:multiLevelType w:val="hybridMultilevel"/>
    <w:tmpl w:val="D6923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961D4"/>
    <w:multiLevelType w:val="hybridMultilevel"/>
    <w:tmpl w:val="D9C4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A6627"/>
    <w:multiLevelType w:val="hybridMultilevel"/>
    <w:tmpl w:val="50F2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55D2B"/>
    <w:multiLevelType w:val="hybridMultilevel"/>
    <w:tmpl w:val="2318C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86C74"/>
    <w:multiLevelType w:val="hybridMultilevel"/>
    <w:tmpl w:val="B43CE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75EB8"/>
    <w:multiLevelType w:val="hybridMultilevel"/>
    <w:tmpl w:val="02F85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0687C"/>
    <w:multiLevelType w:val="hybridMultilevel"/>
    <w:tmpl w:val="6158F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33036"/>
    <w:multiLevelType w:val="hybridMultilevel"/>
    <w:tmpl w:val="8FA4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B728D"/>
    <w:multiLevelType w:val="hybridMultilevel"/>
    <w:tmpl w:val="F232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242BD"/>
    <w:multiLevelType w:val="hybridMultilevel"/>
    <w:tmpl w:val="1EBC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14FD7"/>
    <w:multiLevelType w:val="hybridMultilevel"/>
    <w:tmpl w:val="86F61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C7892"/>
    <w:multiLevelType w:val="hybridMultilevel"/>
    <w:tmpl w:val="82AC6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5"/>
  </w:num>
  <w:num w:numId="10">
    <w:abstractNumId w:val="1"/>
  </w:num>
  <w:num w:numId="11">
    <w:abstractNumId w:val="14"/>
  </w:num>
  <w:num w:numId="12">
    <w:abstractNumId w:val="2"/>
  </w:num>
  <w:num w:numId="13">
    <w:abstractNumId w:val="9"/>
  </w:num>
  <w:num w:numId="14">
    <w:abstractNumId w:val="0"/>
  </w:num>
  <w:num w:numId="15">
    <w:abstractNumId w:val="16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1E"/>
    <w:rsid w:val="0001394D"/>
    <w:rsid w:val="00041E08"/>
    <w:rsid w:val="000449A5"/>
    <w:rsid w:val="00077EDC"/>
    <w:rsid w:val="000B3FB9"/>
    <w:rsid w:val="000F5B4D"/>
    <w:rsid w:val="000F7E26"/>
    <w:rsid w:val="00103B3B"/>
    <w:rsid w:val="0010771F"/>
    <w:rsid w:val="001139B9"/>
    <w:rsid w:val="001158F5"/>
    <w:rsid w:val="00124608"/>
    <w:rsid w:val="00127C40"/>
    <w:rsid w:val="001374DA"/>
    <w:rsid w:val="001607FD"/>
    <w:rsid w:val="0016615A"/>
    <w:rsid w:val="00176A2B"/>
    <w:rsid w:val="00183F9B"/>
    <w:rsid w:val="001A2A27"/>
    <w:rsid w:val="001B6133"/>
    <w:rsid w:val="001D0484"/>
    <w:rsid w:val="001E1C5E"/>
    <w:rsid w:val="001F04D6"/>
    <w:rsid w:val="001F1F1A"/>
    <w:rsid w:val="0020120D"/>
    <w:rsid w:val="002245D7"/>
    <w:rsid w:val="00236E1A"/>
    <w:rsid w:val="00237136"/>
    <w:rsid w:val="00242272"/>
    <w:rsid w:val="0025145B"/>
    <w:rsid w:val="002549A3"/>
    <w:rsid w:val="002708D0"/>
    <w:rsid w:val="00273861"/>
    <w:rsid w:val="0027580A"/>
    <w:rsid w:val="002761EA"/>
    <w:rsid w:val="00276D52"/>
    <w:rsid w:val="002777D0"/>
    <w:rsid w:val="00290A0F"/>
    <w:rsid w:val="002A0AA9"/>
    <w:rsid w:val="002C436C"/>
    <w:rsid w:val="002D303F"/>
    <w:rsid w:val="002E3039"/>
    <w:rsid w:val="002F7F5A"/>
    <w:rsid w:val="003015B5"/>
    <w:rsid w:val="0030168E"/>
    <w:rsid w:val="00344BBD"/>
    <w:rsid w:val="00345C90"/>
    <w:rsid w:val="00345D6A"/>
    <w:rsid w:val="00370874"/>
    <w:rsid w:val="003849ED"/>
    <w:rsid w:val="0038702E"/>
    <w:rsid w:val="003A1173"/>
    <w:rsid w:val="003A2570"/>
    <w:rsid w:val="003B4A15"/>
    <w:rsid w:val="003E64E5"/>
    <w:rsid w:val="003F0F8B"/>
    <w:rsid w:val="003F3D73"/>
    <w:rsid w:val="003F4EC5"/>
    <w:rsid w:val="00440E17"/>
    <w:rsid w:val="00440F00"/>
    <w:rsid w:val="004502CA"/>
    <w:rsid w:val="00466686"/>
    <w:rsid w:val="0048045E"/>
    <w:rsid w:val="00493738"/>
    <w:rsid w:val="00495C10"/>
    <w:rsid w:val="00495C35"/>
    <w:rsid w:val="004B16A9"/>
    <w:rsid w:val="004C291E"/>
    <w:rsid w:val="004D3C8F"/>
    <w:rsid w:val="004D4F7B"/>
    <w:rsid w:val="004E316E"/>
    <w:rsid w:val="004E487E"/>
    <w:rsid w:val="00502A02"/>
    <w:rsid w:val="005056E8"/>
    <w:rsid w:val="0051115A"/>
    <w:rsid w:val="0055505F"/>
    <w:rsid w:val="005B2747"/>
    <w:rsid w:val="005C5AC8"/>
    <w:rsid w:val="005E735C"/>
    <w:rsid w:val="005F6954"/>
    <w:rsid w:val="006021D0"/>
    <w:rsid w:val="00630708"/>
    <w:rsid w:val="006439BD"/>
    <w:rsid w:val="00651DAA"/>
    <w:rsid w:val="00664EC7"/>
    <w:rsid w:val="00670431"/>
    <w:rsid w:val="00681830"/>
    <w:rsid w:val="00695FF0"/>
    <w:rsid w:val="006B2F94"/>
    <w:rsid w:val="006C4801"/>
    <w:rsid w:val="006C645D"/>
    <w:rsid w:val="006D10F1"/>
    <w:rsid w:val="006F2E67"/>
    <w:rsid w:val="00724A63"/>
    <w:rsid w:val="007575A6"/>
    <w:rsid w:val="007817AE"/>
    <w:rsid w:val="00787616"/>
    <w:rsid w:val="0079639A"/>
    <w:rsid w:val="00796757"/>
    <w:rsid w:val="007A1B77"/>
    <w:rsid w:val="007C2E65"/>
    <w:rsid w:val="007C3806"/>
    <w:rsid w:val="007E10E7"/>
    <w:rsid w:val="007E65F2"/>
    <w:rsid w:val="00805957"/>
    <w:rsid w:val="00836AED"/>
    <w:rsid w:val="00850934"/>
    <w:rsid w:val="00850EF7"/>
    <w:rsid w:val="008642FD"/>
    <w:rsid w:val="008655F8"/>
    <w:rsid w:val="00865AC2"/>
    <w:rsid w:val="00870BC0"/>
    <w:rsid w:val="00876EDB"/>
    <w:rsid w:val="008B015D"/>
    <w:rsid w:val="008B5A75"/>
    <w:rsid w:val="008C1992"/>
    <w:rsid w:val="008C5EEC"/>
    <w:rsid w:val="008D70E0"/>
    <w:rsid w:val="008E692B"/>
    <w:rsid w:val="008E7F82"/>
    <w:rsid w:val="0091000A"/>
    <w:rsid w:val="0092334F"/>
    <w:rsid w:val="00925849"/>
    <w:rsid w:val="00941FFD"/>
    <w:rsid w:val="0095351A"/>
    <w:rsid w:val="00957CAF"/>
    <w:rsid w:val="009640B9"/>
    <w:rsid w:val="00990D11"/>
    <w:rsid w:val="009A11E6"/>
    <w:rsid w:val="009A1708"/>
    <w:rsid w:val="009A2E6D"/>
    <w:rsid w:val="009A763C"/>
    <w:rsid w:val="009B061E"/>
    <w:rsid w:val="009C1F17"/>
    <w:rsid w:val="009C48E2"/>
    <w:rsid w:val="009D3E27"/>
    <w:rsid w:val="009D5855"/>
    <w:rsid w:val="009E0F31"/>
    <w:rsid w:val="009E43CA"/>
    <w:rsid w:val="00A061DD"/>
    <w:rsid w:val="00A212C5"/>
    <w:rsid w:val="00A271C3"/>
    <w:rsid w:val="00A61EC1"/>
    <w:rsid w:val="00A7075D"/>
    <w:rsid w:val="00A72AA2"/>
    <w:rsid w:val="00AB419B"/>
    <w:rsid w:val="00AB5A34"/>
    <w:rsid w:val="00AB73F0"/>
    <w:rsid w:val="00AF028F"/>
    <w:rsid w:val="00AF199A"/>
    <w:rsid w:val="00B02773"/>
    <w:rsid w:val="00B06D4C"/>
    <w:rsid w:val="00B13659"/>
    <w:rsid w:val="00B268E2"/>
    <w:rsid w:val="00B336A5"/>
    <w:rsid w:val="00B353AA"/>
    <w:rsid w:val="00B359F8"/>
    <w:rsid w:val="00B42E67"/>
    <w:rsid w:val="00B5048D"/>
    <w:rsid w:val="00B54102"/>
    <w:rsid w:val="00B6194E"/>
    <w:rsid w:val="00B645ED"/>
    <w:rsid w:val="00B777D1"/>
    <w:rsid w:val="00BA5464"/>
    <w:rsid w:val="00BA70A1"/>
    <w:rsid w:val="00BB5705"/>
    <w:rsid w:val="00BE1379"/>
    <w:rsid w:val="00BE149D"/>
    <w:rsid w:val="00BF6DBD"/>
    <w:rsid w:val="00C05A28"/>
    <w:rsid w:val="00C14249"/>
    <w:rsid w:val="00C14C97"/>
    <w:rsid w:val="00C26589"/>
    <w:rsid w:val="00C26EDC"/>
    <w:rsid w:val="00C27846"/>
    <w:rsid w:val="00C448B7"/>
    <w:rsid w:val="00C47B57"/>
    <w:rsid w:val="00C52EC7"/>
    <w:rsid w:val="00C546C4"/>
    <w:rsid w:val="00C55315"/>
    <w:rsid w:val="00C5753C"/>
    <w:rsid w:val="00C65D1E"/>
    <w:rsid w:val="00C67E60"/>
    <w:rsid w:val="00C81DF9"/>
    <w:rsid w:val="00CC15B9"/>
    <w:rsid w:val="00CC7F76"/>
    <w:rsid w:val="00CE7EAD"/>
    <w:rsid w:val="00D0508B"/>
    <w:rsid w:val="00D056D4"/>
    <w:rsid w:val="00D136C8"/>
    <w:rsid w:val="00D2190C"/>
    <w:rsid w:val="00D23867"/>
    <w:rsid w:val="00D35ED4"/>
    <w:rsid w:val="00D468CB"/>
    <w:rsid w:val="00D47193"/>
    <w:rsid w:val="00D54EAA"/>
    <w:rsid w:val="00D72988"/>
    <w:rsid w:val="00D73E39"/>
    <w:rsid w:val="00D74C61"/>
    <w:rsid w:val="00D95E58"/>
    <w:rsid w:val="00DC2F0D"/>
    <w:rsid w:val="00DE0C02"/>
    <w:rsid w:val="00DE6CD0"/>
    <w:rsid w:val="00E006BC"/>
    <w:rsid w:val="00E0726D"/>
    <w:rsid w:val="00E14AB5"/>
    <w:rsid w:val="00E4286A"/>
    <w:rsid w:val="00E51022"/>
    <w:rsid w:val="00E640B2"/>
    <w:rsid w:val="00E719BA"/>
    <w:rsid w:val="00E8119A"/>
    <w:rsid w:val="00E81861"/>
    <w:rsid w:val="00ED106C"/>
    <w:rsid w:val="00ED23B3"/>
    <w:rsid w:val="00EE1A58"/>
    <w:rsid w:val="00EE371F"/>
    <w:rsid w:val="00EF1F68"/>
    <w:rsid w:val="00EF2347"/>
    <w:rsid w:val="00EF6F18"/>
    <w:rsid w:val="00F05618"/>
    <w:rsid w:val="00F20515"/>
    <w:rsid w:val="00F42D2F"/>
    <w:rsid w:val="00F440CE"/>
    <w:rsid w:val="00F5634D"/>
    <w:rsid w:val="00F568CC"/>
    <w:rsid w:val="00F82FA8"/>
    <w:rsid w:val="00FA2252"/>
    <w:rsid w:val="00FA46B4"/>
    <w:rsid w:val="00FB0E70"/>
    <w:rsid w:val="00FB2718"/>
    <w:rsid w:val="00FD0DF2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6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EF1F6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leGrid">
    <w:name w:val="Table Grid"/>
    <w:basedOn w:val="TableNormal"/>
    <w:rsid w:val="00EF1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8059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13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1394D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DC2F0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5B274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A70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061E"/>
    <w:pPr>
      <w:ind w:left="720"/>
      <w:contextualSpacing/>
    </w:pPr>
  </w:style>
  <w:style w:type="paragraph" w:styleId="NoSpacing">
    <w:name w:val="No Spacing"/>
    <w:uiPriority w:val="1"/>
    <w:qFormat/>
    <w:rsid w:val="009B061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9B061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8186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6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EF1F6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leGrid">
    <w:name w:val="Table Grid"/>
    <w:basedOn w:val="TableNormal"/>
    <w:rsid w:val="00EF1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8059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13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1394D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DC2F0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5B274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A70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061E"/>
    <w:pPr>
      <w:ind w:left="720"/>
      <w:contextualSpacing/>
    </w:pPr>
  </w:style>
  <w:style w:type="paragraph" w:styleId="NoSpacing">
    <w:name w:val="No Spacing"/>
    <w:uiPriority w:val="1"/>
    <w:qFormat/>
    <w:rsid w:val="009B061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9B061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8186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s.nihr.ac.uk/funding" TargetMode="External"/><Relationship Id="rId13" Type="http://schemas.openxmlformats.org/officeDocument/2006/relationships/hyperlink" Target="http://www.nets.nihr.ac.uk/funding/hta-commissioned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nets.nihr.ac.uk/funding/hsdr-researcher-led" TargetMode="External"/><Relationship Id="rId17" Type="http://schemas.openxmlformats.org/officeDocument/2006/relationships/hyperlink" Target="http://www.themedcalls.nihr.ac.uk/childr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ts.nihr.ac.uk/funding/phr-researcher-led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ts.nihr.ac.uk/funding/hsdr-commission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ts.nihr.ac.uk/funding/phr-commissione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ets.nihr.ac.uk/funding/eme-researcher-le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ts.nihr.ac.uk/funding/eme-commissioned" TargetMode="External"/><Relationship Id="rId14" Type="http://schemas.openxmlformats.org/officeDocument/2006/relationships/hyperlink" Target="http://www.nets.nihr.ac.uk/funding/hta-researcher-led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ts.nihr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7208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8234</CharactersWithSpaces>
  <SharedDoc>false</SharedDoc>
  <HLinks>
    <vt:vector size="6" baseType="variant"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http://www.netscc.ac.uk/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Underwood C.S.</dc:creator>
  <cp:lastModifiedBy>Kate J Farrington</cp:lastModifiedBy>
  <cp:revision>2</cp:revision>
  <cp:lastPrinted>2012-07-25T12:42:00Z</cp:lastPrinted>
  <dcterms:created xsi:type="dcterms:W3CDTF">2014-04-09T14:56:00Z</dcterms:created>
  <dcterms:modified xsi:type="dcterms:W3CDTF">2014-04-09T14:56:00Z</dcterms:modified>
</cp:coreProperties>
</file>