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16423" w14:textId="77777777" w:rsidR="00EC48F1" w:rsidRPr="009F713E" w:rsidRDefault="00EC48F1" w:rsidP="009F713E">
      <w:pPr>
        <w:spacing w:before="32" w:after="10" w:line="304" w:lineRule="exact"/>
        <w:ind w:left="72"/>
        <w:textAlignment w:val="baseline"/>
        <w:rPr>
          <w:rFonts w:ascii="Verdana" w:eastAsia="Verdana" w:hAnsi="Verdana"/>
          <w:b/>
          <w:color w:val="2E74B4"/>
          <w:sz w:val="21"/>
        </w:rPr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8"/>
      </w:tblGrid>
      <w:tr w:rsidR="00EC48F1" w:rsidRPr="009F713E" w14:paraId="071D2EED" w14:textId="77777777">
        <w:trPr>
          <w:trHeight w:hRule="exact" w:val="360"/>
        </w:trPr>
        <w:tc>
          <w:tcPr>
            <w:tcW w:w="10378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14:paraId="364B703A" w14:textId="77777777" w:rsidR="00EC48F1" w:rsidRDefault="00CB32A1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color w:val="2E74B4"/>
                <w:sz w:val="21"/>
              </w:rPr>
            </w:pPr>
            <w:r>
              <w:rPr>
                <w:rFonts w:ascii="Verdana" w:eastAsia="Verdana" w:hAnsi="Verdana"/>
                <w:b/>
                <w:color w:val="2E74B4"/>
                <w:sz w:val="21"/>
              </w:rPr>
              <w:t>Host department:</w:t>
            </w:r>
          </w:p>
        </w:tc>
      </w:tr>
      <w:tr w:rsidR="00EC48F1" w:rsidRPr="009F713E" w14:paraId="151AA450" w14:textId="77777777">
        <w:trPr>
          <w:trHeight w:hRule="exact" w:val="590"/>
        </w:trPr>
        <w:tc>
          <w:tcPr>
            <w:tcW w:w="10378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9DE303" w14:textId="05CDAD2D" w:rsidR="00EC48F1" w:rsidRPr="009F713E" w:rsidRDefault="009F713E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color w:val="2E74B4"/>
                <w:sz w:val="21"/>
              </w:rPr>
            </w:pPr>
            <w:r w:rsidRPr="00B32EAF">
              <w:rPr>
                <w:rFonts w:ascii="Verdana" w:eastAsia="Verdana" w:hAnsi="Verdana"/>
                <w:b/>
                <w:sz w:val="21"/>
              </w:rPr>
              <w:t>Nottingham</w:t>
            </w:r>
          </w:p>
        </w:tc>
      </w:tr>
      <w:tr w:rsidR="00EC48F1" w:rsidRPr="009F713E" w14:paraId="36FE8AE2" w14:textId="77777777">
        <w:trPr>
          <w:trHeight w:hRule="exact" w:val="341"/>
        </w:trPr>
        <w:tc>
          <w:tcPr>
            <w:tcW w:w="10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1E49B5" w14:textId="3604F8DC" w:rsidR="00EC48F1" w:rsidRDefault="00CB32A1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color w:val="2E74B4"/>
                <w:sz w:val="21"/>
              </w:rPr>
            </w:pPr>
            <w:r>
              <w:rPr>
                <w:rFonts w:ascii="Verdana" w:eastAsia="Verdana" w:hAnsi="Verdana"/>
                <w:b/>
                <w:color w:val="2E74B4"/>
                <w:sz w:val="21"/>
              </w:rPr>
              <w:t>Title:</w:t>
            </w:r>
            <w:r w:rsidR="00D871B3">
              <w:rPr>
                <w:rFonts w:ascii="Verdana" w:eastAsia="Verdana" w:hAnsi="Verdana"/>
                <w:b/>
                <w:color w:val="2E74B4"/>
                <w:sz w:val="21"/>
              </w:rPr>
              <w:t xml:space="preserve"> </w:t>
            </w:r>
          </w:p>
        </w:tc>
      </w:tr>
      <w:tr w:rsidR="00EC48F1" w:rsidRPr="009F713E" w14:paraId="77A00049" w14:textId="77777777">
        <w:trPr>
          <w:trHeight w:hRule="exact" w:val="879"/>
        </w:trPr>
        <w:tc>
          <w:tcPr>
            <w:tcW w:w="10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22C9AE" w14:textId="20E523F4" w:rsidR="00EC48F1" w:rsidRPr="009F713E" w:rsidRDefault="00867830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color w:val="2E74B4"/>
                <w:sz w:val="21"/>
              </w:rPr>
            </w:pPr>
            <w:r w:rsidRPr="00B32EAF">
              <w:rPr>
                <w:rFonts w:ascii="Verdana" w:eastAsia="Verdana" w:hAnsi="Verdana"/>
                <w:b/>
                <w:sz w:val="21"/>
              </w:rPr>
              <w:t xml:space="preserve">Addressing </w:t>
            </w:r>
            <w:r>
              <w:rPr>
                <w:rFonts w:ascii="Verdana" w:eastAsia="Verdana" w:hAnsi="Verdana"/>
                <w:b/>
                <w:sz w:val="21"/>
              </w:rPr>
              <w:t xml:space="preserve">COVID19 </w:t>
            </w:r>
            <w:r w:rsidRPr="00B32EAF">
              <w:rPr>
                <w:rFonts w:ascii="Verdana" w:eastAsia="Verdana" w:hAnsi="Verdana"/>
                <w:b/>
                <w:sz w:val="21"/>
              </w:rPr>
              <w:t>vaccine hesitancy in the community</w:t>
            </w:r>
          </w:p>
        </w:tc>
      </w:tr>
      <w:tr w:rsidR="00EC48F1" w:rsidRPr="009F713E" w14:paraId="0912C94F" w14:textId="77777777">
        <w:trPr>
          <w:trHeight w:hRule="exact" w:val="340"/>
        </w:trPr>
        <w:tc>
          <w:tcPr>
            <w:tcW w:w="10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37D5D2" w14:textId="77777777" w:rsidR="00EC48F1" w:rsidRDefault="00CB32A1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color w:val="2E74B4"/>
                <w:sz w:val="21"/>
              </w:rPr>
            </w:pPr>
            <w:r>
              <w:rPr>
                <w:rFonts w:ascii="Verdana" w:eastAsia="Verdana" w:hAnsi="Verdana"/>
                <w:b/>
                <w:color w:val="2E74B4"/>
                <w:sz w:val="21"/>
              </w:rPr>
              <w:t>Proposed supervisory team:</w:t>
            </w:r>
          </w:p>
        </w:tc>
      </w:tr>
      <w:tr w:rsidR="00EC48F1" w:rsidRPr="009F713E" w14:paraId="56E362DC" w14:textId="77777777">
        <w:trPr>
          <w:trHeight w:hRule="exact" w:val="2002"/>
        </w:trPr>
        <w:tc>
          <w:tcPr>
            <w:tcW w:w="10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DB5B37" w14:textId="77777777" w:rsidR="00EC48F1" w:rsidRPr="00B32EAF" w:rsidRDefault="00C64DFD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sz w:val="21"/>
              </w:rPr>
            </w:pPr>
            <w:r w:rsidRPr="00B32EAF">
              <w:rPr>
                <w:rFonts w:ascii="Verdana" w:eastAsia="Verdana" w:hAnsi="Verdana"/>
                <w:b/>
                <w:sz w:val="21"/>
              </w:rPr>
              <w:t>Professor Kavita Vedhara (University of Nottingham)</w:t>
            </w:r>
          </w:p>
          <w:p w14:paraId="562CAB35" w14:textId="0CCD72D5" w:rsidR="00C64DFD" w:rsidRPr="00B32EAF" w:rsidRDefault="00C64DFD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sz w:val="21"/>
              </w:rPr>
            </w:pPr>
            <w:r w:rsidRPr="00B32EAF">
              <w:rPr>
                <w:rFonts w:ascii="Verdana" w:eastAsia="Verdana" w:hAnsi="Verdana"/>
                <w:b/>
                <w:sz w:val="21"/>
              </w:rPr>
              <w:t>Dr Kat Bradbury (University of Southampton)</w:t>
            </w:r>
          </w:p>
          <w:p w14:paraId="599A3AC5" w14:textId="77777777" w:rsidR="00C64DFD" w:rsidRPr="00B32EAF" w:rsidRDefault="00C64DFD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sz w:val="21"/>
              </w:rPr>
            </w:pPr>
            <w:r w:rsidRPr="00B32EAF">
              <w:rPr>
                <w:rFonts w:ascii="Verdana" w:eastAsia="Verdana" w:hAnsi="Verdana"/>
                <w:b/>
                <w:sz w:val="21"/>
              </w:rPr>
              <w:t>Professor Trudie Chalder (Kings’ College London)</w:t>
            </w:r>
          </w:p>
          <w:p w14:paraId="4543D8DD" w14:textId="4B799821" w:rsidR="00C64DFD" w:rsidRPr="00B32EAF" w:rsidRDefault="00C64DFD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sz w:val="21"/>
              </w:rPr>
            </w:pPr>
            <w:r w:rsidRPr="00B32EAF">
              <w:rPr>
                <w:rFonts w:ascii="Verdana" w:eastAsia="Verdana" w:hAnsi="Verdana"/>
                <w:b/>
                <w:sz w:val="21"/>
              </w:rPr>
              <w:t xml:space="preserve">Dr </w:t>
            </w:r>
            <w:r w:rsidR="00F226FB" w:rsidRPr="00B32EAF">
              <w:rPr>
                <w:rFonts w:ascii="Verdana" w:eastAsia="Verdana" w:hAnsi="Verdana"/>
                <w:b/>
                <w:sz w:val="21"/>
              </w:rPr>
              <w:t>Holly Knight (University of Nottingham)</w:t>
            </w:r>
          </w:p>
        </w:tc>
      </w:tr>
      <w:tr w:rsidR="00EC48F1" w:rsidRPr="009F713E" w14:paraId="015FFF5B" w14:textId="77777777">
        <w:trPr>
          <w:trHeight w:hRule="exact" w:val="341"/>
        </w:trPr>
        <w:tc>
          <w:tcPr>
            <w:tcW w:w="10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54842F" w14:textId="77777777" w:rsidR="00EC48F1" w:rsidRDefault="00CB32A1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color w:val="2E74B4"/>
                <w:sz w:val="21"/>
              </w:rPr>
            </w:pPr>
            <w:r>
              <w:rPr>
                <w:rFonts w:ascii="Verdana" w:eastAsia="Verdana" w:hAnsi="Verdana"/>
                <w:b/>
                <w:color w:val="2E74B4"/>
                <w:sz w:val="21"/>
              </w:rPr>
              <w:t>Project description:</w:t>
            </w:r>
          </w:p>
        </w:tc>
      </w:tr>
      <w:tr w:rsidR="00EC48F1" w:rsidRPr="009F713E" w14:paraId="5A476B9C" w14:textId="77777777">
        <w:trPr>
          <w:trHeight w:hRule="exact" w:val="5117"/>
        </w:trPr>
        <w:tc>
          <w:tcPr>
            <w:tcW w:w="10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D3F856" w14:textId="77777777" w:rsidR="00EC48F1" w:rsidRPr="000439B0" w:rsidRDefault="00CB32A1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sz w:val="21"/>
              </w:rPr>
            </w:pPr>
            <w:r w:rsidRPr="000439B0">
              <w:rPr>
                <w:rFonts w:ascii="Verdana" w:eastAsia="Verdana" w:hAnsi="Verdana"/>
                <w:b/>
                <w:sz w:val="21"/>
              </w:rPr>
              <w:t>Background</w:t>
            </w:r>
          </w:p>
          <w:p w14:paraId="03718C1D" w14:textId="5E9923E3" w:rsidR="000F0CA2" w:rsidRPr="00C46C4F" w:rsidRDefault="00B70478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Cs/>
                <w:sz w:val="21"/>
              </w:rPr>
            </w:pPr>
            <w:r w:rsidRPr="00C46C4F">
              <w:rPr>
                <w:rFonts w:ascii="Verdana" w:eastAsia="Verdana" w:hAnsi="Verdana"/>
                <w:bCs/>
                <w:sz w:val="21"/>
              </w:rPr>
              <w:t xml:space="preserve">The </w:t>
            </w:r>
            <w:r w:rsidR="009F3621" w:rsidRPr="00C46C4F">
              <w:rPr>
                <w:rFonts w:ascii="Verdana" w:eastAsia="Verdana" w:hAnsi="Verdana"/>
                <w:bCs/>
                <w:sz w:val="21"/>
              </w:rPr>
              <w:t xml:space="preserve">development of </w:t>
            </w:r>
            <w:r w:rsidR="00D265AF" w:rsidRPr="00C46C4F">
              <w:rPr>
                <w:rFonts w:ascii="Verdana" w:eastAsia="Verdana" w:hAnsi="Verdana"/>
                <w:bCs/>
                <w:sz w:val="21"/>
              </w:rPr>
              <w:t xml:space="preserve">COVID-19 </w:t>
            </w:r>
            <w:r w:rsidR="009F3621" w:rsidRPr="00C46C4F">
              <w:rPr>
                <w:rFonts w:ascii="Verdana" w:eastAsia="Verdana" w:hAnsi="Verdana"/>
                <w:bCs/>
                <w:sz w:val="21"/>
              </w:rPr>
              <w:t xml:space="preserve">vaccines </w:t>
            </w:r>
            <w:r w:rsidR="00C559DF" w:rsidRPr="00C46C4F">
              <w:rPr>
                <w:rFonts w:ascii="Verdana" w:eastAsia="Verdana" w:hAnsi="Verdana"/>
                <w:bCs/>
                <w:sz w:val="21"/>
              </w:rPr>
              <w:t>that</w:t>
            </w:r>
            <w:r w:rsidR="00F36796" w:rsidRPr="00C46C4F">
              <w:rPr>
                <w:rFonts w:ascii="Verdana" w:eastAsia="Verdana" w:hAnsi="Verdana"/>
                <w:bCs/>
                <w:sz w:val="21"/>
              </w:rPr>
              <w:t xml:space="preserve"> reduce the risk of severe disease </w:t>
            </w:r>
            <w:r w:rsidR="00D265AF" w:rsidRPr="00C46C4F">
              <w:rPr>
                <w:rFonts w:ascii="Verdana" w:eastAsia="Verdana" w:hAnsi="Verdana"/>
                <w:bCs/>
                <w:sz w:val="21"/>
              </w:rPr>
              <w:t>has</w:t>
            </w:r>
            <w:r w:rsidR="00B32EAF" w:rsidRPr="00C46C4F">
              <w:rPr>
                <w:rFonts w:ascii="Verdana" w:eastAsia="Verdana" w:hAnsi="Verdana"/>
                <w:bCs/>
                <w:sz w:val="21"/>
              </w:rPr>
              <w:t xml:space="preserve"> been a triumph. However, </w:t>
            </w:r>
            <w:r w:rsidR="0029033E" w:rsidRPr="00C46C4F">
              <w:rPr>
                <w:rFonts w:ascii="Verdana" w:eastAsia="Verdana" w:hAnsi="Verdana"/>
                <w:bCs/>
                <w:sz w:val="21"/>
              </w:rPr>
              <w:t xml:space="preserve">the success of these vaccines is inextricably tied to people’s willingness to be vaccinated. From the outset we have observed </w:t>
            </w:r>
            <w:r w:rsidR="0085530C" w:rsidRPr="00C46C4F">
              <w:rPr>
                <w:rFonts w:ascii="Verdana" w:eastAsia="Verdana" w:hAnsi="Verdana"/>
                <w:bCs/>
                <w:sz w:val="21"/>
              </w:rPr>
              <w:t>significant variation in the public’s willingness, with factors such as age and ethnicity</w:t>
            </w:r>
            <w:r w:rsidR="00DD6750" w:rsidRPr="00C46C4F">
              <w:rPr>
                <w:rFonts w:ascii="Verdana" w:eastAsia="Verdana" w:hAnsi="Verdana"/>
                <w:bCs/>
                <w:sz w:val="21"/>
              </w:rPr>
              <w:t xml:space="preserve"> being associated with greater </w:t>
            </w:r>
            <w:r w:rsidR="006E3EF2" w:rsidRPr="00C46C4F">
              <w:rPr>
                <w:rFonts w:ascii="Verdana" w:eastAsia="Verdana" w:hAnsi="Verdana"/>
                <w:bCs/>
                <w:sz w:val="21"/>
              </w:rPr>
              <w:t xml:space="preserve">vaccine hesitancy. As the pandemic continues, other factors such as </w:t>
            </w:r>
            <w:r w:rsidR="00816DE4" w:rsidRPr="00C46C4F">
              <w:rPr>
                <w:rFonts w:ascii="Verdana" w:eastAsia="Verdana" w:hAnsi="Verdana"/>
                <w:bCs/>
                <w:sz w:val="21"/>
              </w:rPr>
              <w:t xml:space="preserve">confidence in boosters, changes in perceptions of risk, </w:t>
            </w:r>
            <w:r w:rsidR="008D12F7">
              <w:rPr>
                <w:rFonts w:ascii="Verdana" w:eastAsia="Verdana" w:hAnsi="Verdana"/>
                <w:bCs/>
                <w:sz w:val="21"/>
              </w:rPr>
              <w:t xml:space="preserve">etc. </w:t>
            </w:r>
            <w:r w:rsidR="00816DE4" w:rsidRPr="00C46C4F">
              <w:rPr>
                <w:rFonts w:ascii="Verdana" w:eastAsia="Verdana" w:hAnsi="Verdana"/>
                <w:bCs/>
                <w:sz w:val="21"/>
              </w:rPr>
              <w:t xml:space="preserve">are also likely to </w:t>
            </w:r>
            <w:r w:rsidR="007F27E0" w:rsidRPr="00C46C4F">
              <w:rPr>
                <w:rFonts w:ascii="Verdana" w:eastAsia="Verdana" w:hAnsi="Verdana"/>
                <w:bCs/>
                <w:sz w:val="21"/>
              </w:rPr>
              <w:t>impinge on the public’s willingness to be vaccinated.</w:t>
            </w:r>
          </w:p>
          <w:p w14:paraId="037F86FD" w14:textId="4605B2FA" w:rsidR="00A64BDB" w:rsidRDefault="007F27E0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Cs/>
                <w:sz w:val="21"/>
              </w:rPr>
            </w:pPr>
            <w:r w:rsidRPr="00C46C4F">
              <w:rPr>
                <w:rFonts w:ascii="Verdana" w:eastAsia="Verdana" w:hAnsi="Verdana"/>
                <w:bCs/>
                <w:sz w:val="21"/>
              </w:rPr>
              <w:t xml:space="preserve">This project will focus on </w:t>
            </w:r>
            <w:r w:rsidR="001E4740" w:rsidRPr="00C46C4F">
              <w:rPr>
                <w:rFonts w:ascii="Verdana" w:eastAsia="Verdana" w:hAnsi="Verdana"/>
                <w:bCs/>
                <w:sz w:val="21"/>
              </w:rPr>
              <w:t xml:space="preserve">updating an existing digital intervention </w:t>
            </w:r>
            <w:r w:rsidR="00487A37">
              <w:rPr>
                <w:rFonts w:ascii="Verdana" w:eastAsia="Verdana" w:hAnsi="Verdana"/>
                <w:bCs/>
                <w:sz w:val="21"/>
              </w:rPr>
              <w:t>(</w:t>
            </w:r>
            <w:hyperlink r:id="rId8" w:history="1">
              <w:r w:rsidR="00487A37" w:rsidRPr="004336B2">
                <w:rPr>
                  <w:rStyle w:val="Hyperlink"/>
                  <w:rFonts w:ascii="Verdana" w:eastAsia="Verdana" w:hAnsi="Verdana"/>
                  <w:bCs/>
                  <w:sz w:val="21"/>
                </w:rPr>
                <w:t>www.covidvaxfacts.info</w:t>
              </w:r>
            </w:hyperlink>
            <w:r w:rsidR="00487A37">
              <w:rPr>
                <w:rFonts w:ascii="Verdana" w:eastAsia="Verdana" w:hAnsi="Verdana"/>
                <w:bCs/>
                <w:sz w:val="21"/>
              </w:rPr>
              <w:t xml:space="preserve">) </w:t>
            </w:r>
            <w:r w:rsidR="001E4740" w:rsidRPr="00C46C4F">
              <w:rPr>
                <w:rFonts w:ascii="Verdana" w:eastAsia="Verdana" w:hAnsi="Verdana"/>
                <w:bCs/>
                <w:sz w:val="21"/>
              </w:rPr>
              <w:t xml:space="preserve">to address COVID-19 vaccine hesitancy </w:t>
            </w:r>
            <w:r w:rsidR="00C14702">
              <w:rPr>
                <w:rFonts w:ascii="Verdana" w:eastAsia="Verdana" w:hAnsi="Verdana"/>
                <w:bCs/>
                <w:sz w:val="21"/>
              </w:rPr>
              <w:t xml:space="preserve">and </w:t>
            </w:r>
            <w:r w:rsidR="00A64BDB">
              <w:rPr>
                <w:rFonts w:ascii="Verdana" w:eastAsia="Verdana" w:hAnsi="Verdana"/>
                <w:bCs/>
                <w:sz w:val="21"/>
              </w:rPr>
              <w:t xml:space="preserve">evaluating </w:t>
            </w:r>
            <w:r w:rsidR="004D16BE">
              <w:rPr>
                <w:rFonts w:ascii="Verdana" w:eastAsia="Verdana" w:hAnsi="Verdana"/>
                <w:bCs/>
                <w:sz w:val="21"/>
              </w:rPr>
              <w:t>how well it works and for whom.</w:t>
            </w:r>
          </w:p>
          <w:p w14:paraId="74D66820" w14:textId="545FF6C8" w:rsidR="00A64BDB" w:rsidRPr="0033196F" w:rsidRDefault="004D16BE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sz w:val="21"/>
              </w:rPr>
            </w:pPr>
            <w:r w:rsidRPr="0033196F">
              <w:rPr>
                <w:rFonts w:ascii="Verdana" w:eastAsia="Verdana" w:hAnsi="Verdana"/>
                <w:b/>
                <w:sz w:val="21"/>
              </w:rPr>
              <w:t>Methods:</w:t>
            </w:r>
          </w:p>
          <w:p w14:paraId="65FAD570" w14:textId="77777777" w:rsidR="007D502E" w:rsidRDefault="00DF63C9" w:rsidP="007D502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Cs/>
                <w:sz w:val="21"/>
              </w:rPr>
            </w:pPr>
            <w:r>
              <w:rPr>
                <w:rFonts w:ascii="Verdana" w:eastAsia="Verdana" w:hAnsi="Verdana"/>
                <w:bCs/>
                <w:sz w:val="21"/>
              </w:rPr>
              <w:t xml:space="preserve">Stage 1: Rapid literature review and PPI focus groups to </w:t>
            </w:r>
            <w:r w:rsidR="007D502E">
              <w:rPr>
                <w:rFonts w:ascii="Verdana" w:eastAsia="Verdana" w:hAnsi="Verdana"/>
                <w:bCs/>
                <w:sz w:val="21"/>
              </w:rPr>
              <w:t xml:space="preserve">understand </w:t>
            </w:r>
            <w:r w:rsidR="001E4740" w:rsidRPr="00C46C4F">
              <w:rPr>
                <w:rFonts w:ascii="Verdana" w:eastAsia="Verdana" w:hAnsi="Verdana"/>
                <w:bCs/>
                <w:sz w:val="21"/>
              </w:rPr>
              <w:t xml:space="preserve">salient </w:t>
            </w:r>
            <w:r w:rsidR="00544515">
              <w:rPr>
                <w:rFonts w:ascii="Verdana" w:eastAsia="Verdana" w:hAnsi="Verdana"/>
                <w:bCs/>
                <w:sz w:val="21"/>
              </w:rPr>
              <w:t>barriers and facilitators to vaccination</w:t>
            </w:r>
            <w:r w:rsidR="001E4740" w:rsidRPr="00C46C4F">
              <w:rPr>
                <w:rFonts w:ascii="Verdana" w:eastAsia="Verdana" w:hAnsi="Verdana"/>
                <w:bCs/>
                <w:sz w:val="21"/>
              </w:rPr>
              <w:t xml:space="preserve"> at the time</w:t>
            </w:r>
            <w:r w:rsidR="00281DC1">
              <w:rPr>
                <w:rFonts w:ascii="Verdana" w:eastAsia="Verdana" w:hAnsi="Verdana"/>
                <w:bCs/>
                <w:sz w:val="21"/>
              </w:rPr>
              <w:t xml:space="preserve">. </w:t>
            </w:r>
          </w:p>
          <w:p w14:paraId="231830F3" w14:textId="64730081" w:rsidR="000F0CA2" w:rsidRDefault="007D502E" w:rsidP="007D502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Cs/>
                <w:sz w:val="21"/>
              </w:rPr>
            </w:pPr>
            <w:r>
              <w:rPr>
                <w:rFonts w:ascii="Verdana" w:eastAsia="Verdana" w:hAnsi="Verdana"/>
                <w:bCs/>
                <w:sz w:val="21"/>
              </w:rPr>
              <w:t xml:space="preserve">Stage 2: </w:t>
            </w:r>
            <w:r w:rsidR="00DB4603">
              <w:rPr>
                <w:rFonts w:ascii="Verdana" w:eastAsia="Verdana" w:hAnsi="Verdana"/>
                <w:bCs/>
                <w:sz w:val="21"/>
              </w:rPr>
              <w:t xml:space="preserve">Updating of existing intervention </w:t>
            </w:r>
            <w:r w:rsidR="00A37CEC">
              <w:rPr>
                <w:rFonts w:ascii="Verdana" w:eastAsia="Verdana" w:hAnsi="Verdana"/>
                <w:bCs/>
                <w:sz w:val="21"/>
              </w:rPr>
              <w:t>based on findings from stage 1.</w:t>
            </w:r>
          </w:p>
          <w:p w14:paraId="2AE73BE4" w14:textId="48DD47AA" w:rsidR="008E2D3E" w:rsidRDefault="008E2D3E" w:rsidP="007D502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Cs/>
                <w:sz w:val="21"/>
              </w:rPr>
            </w:pPr>
            <w:r>
              <w:rPr>
                <w:rFonts w:ascii="Verdana" w:eastAsia="Verdana" w:hAnsi="Verdana"/>
                <w:bCs/>
                <w:sz w:val="21"/>
              </w:rPr>
              <w:t xml:space="preserve">Stage 3: Feasibility trial with mixed methods process evaluation to </w:t>
            </w:r>
            <w:r w:rsidR="003206A7">
              <w:rPr>
                <w:rFonts w:ascii="Verdana" w:eastAsia="Verdana" w:hAnsi="Verdana"/>
                <w:bCs/>
                <w:sz w:val="21"/>
              </w:rPr>
              <w:t>examine who the intervention works for and potential mechanisms of effectiveness.</w:t>
            </w:r>
          </w:p>
          <w:p w14:paraId="6C1321E4" w14:textId="77777777" w:rsidR="003206A7" w:rsidRPr="00C46C4F" w:rsidRDefault="003206A7" w:rsidP="007D502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Cs/>
                <w:sz w:val="21"/>
              </w:rPr>
            </w:pPr>
          </w:p>
          <w:p w14:paraId="4B90AA11" w14:textId="77777777" w:rsidR="000F0CA2" w:rsidRPr="00B32EAF" w:rsidRDefault="000F0CA2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sz w:val="21"/>
              </w:rPr>
            </w:pPr>
          </w:p>
          <w:p w14:paraId="2F4E853B" w14:textId="77777777" w:rsidR="000F0CA2" w:rsidRPr="00B32EAF" w:rsidRDefault="000F0CA2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sz w:val="21"/>
              </w:rPr>
            </w:pPr>
          </w:p>
          <w:p w14:paraId="1B4E0BA8" w14:textId="77777777" w:rsidR="00EC48F1" w:rsidRPr="00B32EAF" w:rsidRDefault="00CB32A1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sz w:val="21"/>
              </w:rPr>
            </w:pPr>
            <w:r w:rsidRPr="00B32EAF">
              <w:rPr>
                <w:rFonts w:ascii="Verdana" w:eastAsia="Verdana" w:hAnsi="Verdana"/>
                <w:b/>
                <w:sz w:val="21"/>
              </w:rPr>
              <w:t>Methods</w:t>
            </w:r>
          </w:p>
          <w:p w14:paraId="71E32B48" w14:textId="119CDB0A" w:rsidR="000F0CA2" w:rsidRDefault="000F0CA2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sz w:val="21"/>
              </w:rPr>
            </w:pPr>
          </w:p>
          <w:p w14:paraId="498BD285" w14:textId="14180186" w:rsidR="00541987" w:rsidRDefault="00541987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sz w:val="21"/>
              </w:rPr>
            </w:pPr>
          </w:p>
          <w:p w14:paraId="77FF36E9" w14:textId="77777777" w:rsidR="00541987" w:rsidRPr="00B32EAF" w:rsidRDefault="00541987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sz w:val="21"/>
              </w:rPr>
            </w:pPr>
          </w:p>
          <w:p w14:paraId="2E0B2BE2" w14:textId="77777777" w:rsidR="000F0CA2" w:rsidRPr="00B32EAF" w:rsidRDefault="000F0CA2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sz w:val="21"/>
              </w:rPr>
            </w:pPr>
          </w:p>
          <w:p w14:paraId="023E474C" w14:textId="77777777" w:rsidR="000F0CA2" w:rsidRPr="00B32EAF" w:rsidRDefault="000F0CA2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sz w:val="21"/>
              </w:rPr>
            </w:pPr>
          </w:p>
          <w:p w14:paraId="399459CF" w14:textId="77777777" w:rsidR="000F0CA2" w:rsidRPr="00B32EAF" w:rsidRDefault="000F0CA2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sz w:val="21"/>
              </w:rPr>
            </w:pPr>
          </w:p>
          <w:p w14:paraId="5C70F9E9" w14:textId="77777777" w:rsidR="00EC48F1" w:rsidRPr="00B32EAF" w:rsidRDefault="00CB32A1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sz w:val="21"/>
              </w:rPr>
            </w:pPr>
            <w:r w:rsidRPr="00B32EAF">
              <w:rPr>
                <w:rFonts w:ascii="Verdana" w:eastAsia="Verdana" w:hAnsi="Verdana"/>
                <w:b/>
                <w:sz w:val="21"/>
              </w:rPr>
              <w:t>Potential impact</w:t>
            </w:r>
          </w:p>
          <w:p w14:paraId="7530555B" w14:textId="41904EE9" w:rsidR="00EC48F1" w:rsidRPr="009F713E" w:rsidRDefault="00EC48F1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color w:val="2E74B4"/>
                <w:sz w:val="21"/>
              </w:rPr>
            </w:pPr>
          </w:p>
        </w:tc>
      </w:tr>
      <w:tr w:rsidR="00EC48F1" w:rsidRPr="009F713E" w14:paraId="49258631" w14:textId="77777777">
        <w:trPr>
          <w:trHeight w:hRule="exact" w:val="360"/>
        </w:trPr>
        <w:tc>
          <w:tcPr>
            <w:tcW w:w="10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F81AB7" w14:textId="77777777" w:rsidR="00EC48F1" w:rsidRDefault="00CB32A1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color w:val="2E74B4"/>
                <w:sz w:val="21"/>
              </w:rPr>
            </w:pPr>
            <w:r>
              <w:rPr>
                <w:rFonts w:ascii="Verdana" w:eastAsia="Verdana" w:hAnsi="Verdana"/>
                <w:b/>
                <w:color w:val="2E74B4"/>
                <w:sz w:val="21"/>
              </w:rPr>
              <w:t>Training plan:</w:t>
            </w:r>
          </w:p>
        </w:tc>
      </w:tr>
      <w:tr w:rsidR="00EC48F1" w:rsidRPr="009F713E" w14:paraId="61C53887" w14:textId="77777777">
        <w:trPr>
          <w:trHeight w:hRule="exact" w:val="4493"/>
        </w:trPr>
        <w:tc>
          <w:tcPr>
            <w:tcW w:w="10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99E9FB" w14:textId="77777777" w:rsidR="00EC48F1" w:rsidRPr="0033196F" w:rsidRDefault="00CB32A1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sz w:val="21"/>
              </w:rPr>
            </w:pPr>
            <w:r w:rsidRPr="0033196F">
              <w:rPr>
                <w:rFonts w:ascii="Verdana" w:eastAsia="Verdana" w:hAnsi="Verdana"/>
                <w:b/>
                <w:sz w:val="21"/>
              </w:rPr>
              <w:t>Formal training:</w:t>
            </w:r>
          </w:p>
          <w:p w14:paraId="1EF241D2" w14:textId="7C3FB477" w:rsidR="003D3997" w:rsidRDefault="009E5347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Cs/>
                <w:sz w:val="21"/>
              </w:rPr>
            </w:pPr>
            <w:r>
              <w:rPr>
                <w:rFonts w:ascii="Verdana" w:eastAsia="Verdana" w:hAnsi="Verdana"/>
                <w:bCs/>
                <w:sz w:val="21"/>
              </w:rPr>
              <w:t xml:space="preserve">The successful candidate would benefit from formal training in the following areas </w:t>
            </w:r>
            <w:r w:rsidR="005E48D6">
              <w:rPr>
                <w:rFonts w:ascii="Verdana" w:eastAsia="Verdana" w:hAnsi="Verdana"/>
                <w:bCs/>
                <w:sz w:val="21"/>
              </w:rPr>
              <w:t>as they underpin the methods to be employed in this research:</w:t>
            </w:r>
          </w:p>
          <w:p w14:paraId="6A659A52" w14:textId="2BD98E77" w:rsidR="000F0CA2" w:rsidRDefault="00DB4603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Cs/>
                <w:sz w:val="21"/>
              </w:rPr>
            </w:pPr>
            <w:r w:rsidRPr="005E48D6">
              <w:rPr>
                <w:rFonts w:ascii="Verdana" w:eastAsia="Verdana" w:hAnsi="Verdana"/>
                <w:bCs/>
                <w:sz w:val="21"/>
                <w:u w:val="single"/>
              </w:rPr>
              <w:t>Motivati</w:t>
            </w:r>
            <w:r w:rsidR="003206A7" w:rsidRPr="005E48D6">
              <w:rPr>
                <w:rFonts w:ascii="Verdana" w:eastAsia="Verdana" w:hAnsi="Verdana"/>
                <w:bCs/>
                <w:sz w:val="21"/>
                <w:u w:val="single"/>
              </w:rPr>
              <w:t>o</w:t>
            </w:r>
            <w:r w:rsidRPr="005E48D6">
              <w:rPr>
                <w:rFonts w:ascii="Verdana" w:eastAsia="Verdana" w:hAnsi="Verdana"/>
                <w:bCs/>
                <w:sz w:val="21"/>
                <w:u w:val="single"/>
              </w:rPr>
              <w:t>nal interviewing:</w:t>
            </w:r>
            <w:r w:rsidRPr="0033196F">
              <w:rPr>
                <w:rFonts w:ascii="Verdana" w:eastAsia="Verdana" w:hAnsi="Verdana"/>
                <w:bCs/>
                <w:sz w:val="21"/>
              </w:rPr>
              <w:t xml:space="preserve"> the </w:t>
            </w:r>
            <w:r w:rsidR="003206A7">
              <w:rPr>
                <w:rFonts w:ascii="Verdana" w:eastAsia="Verdana" w:hAnsi="Verdana"/>
                <w:bCs/>
                <w:sz w:val="21"/>
              </w:rPr>
              <w:t xml:space="preserve">existing </w:t>
            </w:r>
            <w:r w:rsidRPr="0033196F">
              <w:rPr>
                <w:rFonts w:ascii="Verdana" w:eastAsia="Verdana" w:hAnsi="Verdana"/>
                <w:bCs/>
                <w:sz w:val="21"/>
              </w:rPr>
              <w:t xml:space="preserve">vaccine hesitancy website is predicated on the </w:t>
            </w:r>
            <w:r w:rsidR="0033196F" w:rsidRPr="0033196F">
              <w:rPr>
                <w:rFonts w:ascii="Verdana" w:eastAsia="Verdana" w:hAnsi="Verdana"/>
                <w:bCs/>
                <w:sz w:val="21"/>
              </w:rPr>
              <w:t>communication principles of motivational interviewing</w:t>
            </w:r>
            <w:r w:rsidR="00DA59AF">
              <w:rPr>
                <w:rFonts w:ascii="Verdana" w:eastAsia="Verdana" w:hAnsi="Verdana"/>
                <w:bCs/>
                <w:sz w:val="21"/>
              </w:rPr>
              <w:t xml:space="preserve"> (MI)</w:t>
            </w:r>
            <w:r w:rsidR="0033196F" w:rsidRPr="0033196F">
              <w:rPr>
                <w:rFonts w:ascii="Verdana" w:eastAsia="Verdana" w:hAnsi="Verdana"/>
                <w:bCs/>
                <w:sz w:val="21"/>
              </w:rPr>
              <w:t xml:space="preserve">. </w:t>
            </w:r>
          </w:p>
          <w:p w14:paraId="4EB2A9D3" w14:textId="0A52C85B" w:rsidR="00DA59AF" w:rsidRDefault="00DA59AF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Cs/>
                <w:sz w:val="21"/>
              </w:rPr>
            </w:pPr>
            <w:r w:rsidRPr="005E48D6">
              <w:rPr>
                <w:rFonts w:ascii="Verdana" w:eastAsia="Verdana" w:hAnsi="Verdana"/>
                <w:bCs/>
                <w:sz w:val="21"/>
                <w:u w:val="single"/>
              </w:rPr>
              <w:t>Qualitative methods</w:t>
            </w:r>
            <w:r>
              <w:rPr>
                <w:rFonts w:ascii="Verdana" w:eastAsia="Verdana" w:hAnsi="Verdana"/>
                <w:bCs/>
                <w:sz w:val="21"/>
              </w:rPr>
              <w:t>:</w:t>
            </w:r>
            <w:r w:rsidR="00957E00">
              <w:rPr>
                <w:rFonts w:ascii="Verdana" w:eastAsia="Verdana" w:hAnsi="Verdana"/>
                <w:bCs/>
                <w:sz w:val="21"/>
              </w:rPr>
              <w:t xml:space="preserve"> to support </w:t>
            </w:r>
            <w:r w:rsidR="005E48D6">
              <w:rPr>
                <w:rFonts w:ascii="Verdana" w:eastAsia="Verdana" w:hAnsi="Verdana"/>
                <w:bCs/>
                <w:sz w:val="21"/>
              </w:rPr>
              <w:t xml:space="preserve">stage 1 and 3 of the research </w:t>
            </w:r>
            <w:proofErr w:type="spellStart"/>
            <w:r w:rsidR="005E48D6">
              <w:rPr>
                <w:rFonts w:ascii="Verdana" w:eastAsia="Verdana" w:hAnsi="Verdana"/>
                <w:bCs/>
                <w:sz w:val="21"/>
              </w:rPr>
              <w:t>programme</w:t>
            </w:r>
            <w:proofErr w:type="spellEnd"/>
          </w:p>
          <w:p w14:paraId="24DCFD43" w14:textId="0279E732" w:rsidR="005E48D6" w:rsidRDefault="001A4433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Cs/>
                <w:sz w:val="21"/>
              </w:rPr>
            </w:pPr>
            <w:r>
              <w:rPr>
                <w:rFonts w:ascii="Verdana" w:eastAsia="Verdana" w:hAnsi="Verdana"/>
                <w:bCs/>
                <w:sz w:val="21"/>
                <w:u w:val="single"/>
              </w:rPr>
              <w:t>Clinical trial methods</w:t>
            </w:r>
            <w:r w:rsidRPr="001A4433">
              <w:rPr>
                <w:rFonts w:ascii="Verdana" w:eastAsia="Verdana" w:hAnsi="Verdana"/>
                <w:bCs/>
                <w:sz w:val="21"/>
              </w:rPr>
              <w:t>:</w:t>
            </w:r>
            <w:r>
              <w:rPr>
                <w:rFonts w:ascii="Verdana" w:eastAsia="Verdana" w:hAnsi="Verdana"/>
                <w:bCs/>
                <w:sz w:val="21"/>
              </w:rPr>
              <w:t xml:space="preserve"> to support stage 3</w:t>
            </w:r>
          </w:p>
          <w:p w14:paraId="19A72D47" w14:textId="7DCAFC4A" w:rsidR="001A4433" w:rsidRDefault="001A4433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Cs/>
                <w:sz w:val="21"/>
              </w:rPr>
            </w:pPr>
            <w:r>
              <w:rPr>
                <w:rFonts w:ascii="Verdana" w:eastAsia="Verdana" w:hAnsi="Verdana"/>
                <w:bCs/>
                <w:sz w:val="21"/>
                <w:u w:val="single"/>
              </w:rPr>
              <w:t>Systematic reviews</w:t>
            </w:r>
            <w:r w:rsidRPr="001A4433">
              <w:rPr>
                <w:rFonts w:ascii="Verdana" w:eastAsia="Verdana" w:hAnsi="Verdana"/>
                <w:bCs/>
                <w:sz w:val="21"/>
              </w:rPr>
              <w:t>:</w:t>
            </w:r>
            <w:r>
              <w:rPr>
                <w:rFonts w:ascii="Verdana" w:eastAsia="Verdana" w:hAnsi="Verdana"/>
                <w:bCs/>
                <w:sz w:val="21"/>
              </w:rPr>
              <w:t xml:space="preserve"> to support stage 1</w:t>
            </w:r>
          </w:p>
          <w:p w14:paraId="6F3DA8DA" w14:textId="25688BE8" w:rsidR="00471422" w:rsidRPr="0033196F" w:rsidRDefault="00AB5637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Cs/>
                <w:sz w:val="21"/>
              </w:rPr>
            </w:pPr>
            <w:r>
              <w:rPr>
                <w:rFonts w:ascii="Verdana" w:eastAsia="Verdana" w:hAnsi="Verdana"/>
                <w:bCs/>
                <w:sz w:val="21"/>
                <w:u w:val="single"/>
              </w:rPr>
              <w:t>Introductory and advanced statistical methods</w:t>
            </w:r>
            <w:r w:rsidRPr="00AB5637">
              <w:rPr>
                <w:rFonts w:ascii="Verdana" w:eastAsia="Verdana" w:hAnsi="Verdana"/>
                <w:bCs/>
                <w:sz w:val="21"/>
              </w:rPr>
              <w:t>:</w:t>
            </w:r>
            <w:r>
              <w:rPr>
                <w:rFonts w:ascii="Verdana" w:eastAsia="Verdana" w:hAnsi="Verdana"/>
                <w:bCs/>
                <w:sz w:val="21"/>
              </w:rPr>
              <w:t xml:space="preserve"> dependent on the existing statistical expertise of the successful candidate.</w:t>
            </w:r>
          </w:p>
          <w:p w14:paraId="7E4B3F0E" w14:textId="7D9F42EE" w:rsidR="00EC48F1" w:rsidRPr="00867830" w:rsidRDefault="00CB32A1" w:rsidP="000F0CA2">
            <w:pPr>
              <w:spacing w:before="32" w:after="10" w:line="304" w:lineRule="exact"/>
              <w:textAlignment w:val="baseline"/>
              <w:rPr>
                <w:rFonts w:ascii="Verdana" w:eastAsia="Verdana" w:hAnsi="Verdana"/>
                <w:b/>
                <w:sz w:val="21"/>
              </w:rPr>
            </w:pPr>
            <w:r w:rsidRPr="00867830">
              <w:rPr>
                <w:rFonts w:ascii="Verdana" w:eastAsia="Verdana" w:hAnsi="Verdana"/>
                <w:b/>
                <w:sz w:val="21"/>
              </w:rPr>
              <w:t>Informal training:</w:t>
            </w:r>
          </w:p>
          <w:p w14:paraId="27BEE789" w14:textId="77F45A42" w:rsidR="00EC48F1" w:rsidRPr="009F713E" w:rsidRDefault="00AB5637" w:rsidP="009F713E">
            <w:pPr>
              <w:spacing w:before="32" w:after="10" w:line="304" w:lineRule="exact"/>
              <w:ind w:left="72"/>
              <w:textAlignment w:val="baseline"/>
              <w:rPr>
                <w:rFonts w:ascii="Verdana" w:eastAsia="Verdana" w:hAnsi="Verdana"/>
                <w:b/>
                <w:color w:val="2E74B4"/>
                <w:sz w:val="21"/>
              </w:rPr>
            </w:pPr>
            <w:r w:rsidRPr="00867830">
              <w:rPr>
                <w:rFonts w:ascii="Verdana" w:eastAsia="Verdana" w:hAnsi="Verdana"/>
                <w:bCs/>
                <w:sz w:val="21"/>
              </w:rPr>
              <w:t xml:space="preserve">In addition, the successful candidate will benefit from informal training in </w:t>
            </w:r>
            <w:proofErr w:type="gramStart"/>
            <w:r w:rsidRPr="00867830">
              <w:rPr>
                <w:rFonts w:ascii="Verdana" w:eastAsia="Verdana" w:hAnsi="Verdana"/>
                <w:bCs/>
                <w:sz w:val="21"/>
              </w:rPr>
              <w:t>all of</w:t>
            </w:r>
            <w:proofErr w:type="gramEnd"/>
            <w:r w:rsidRPr="00867830">
              <w:rPr>
                <w:rFonts w:ascii="Verdana" w:eastAsia="Verdana" w:hAnsi="Verdana"/>
                <w:bCs/>
                <w:sz w:val="21"/>
              </w:rPr>
              <w:t xml:space="preserve"> the areas noted above</w:t>
            </w:r>
            <w:r w:rsidR="00867830">
              <w:rPr>
                <w:rFonts w:ascii="Verdana" w:eastAsia="Verdana" w:hAnsi="Verdana"/>
                <w:bCs/>
                <w:sz w:val="21"/>
              </w:rPr>
              <w:t xml:space="preserve"> through the named supervisory team</w:t>
            </w:r>
          </w:p>
        </w:tc>
      </w:tr>
    </w:tbl>
    <w:p w14:paraId="66167100" w14:textId="77777777" w:rsidR="00EC48F1" w:rsidRDefault="00EC48F1">
      <w:pPr>
        <w:sectPr w:rsidR="00EC48F1">
          <w:pgSz w:w="11923" w:h="16843"/>
          <w:pgMar w:top="1000" w:right="926" w:bottom="567" w:left="581" w:header="720" w:footer="720" w:gutter="0"/>
          <w:cols w:space="720"/>
        </w:sectPr>
      </w:pPr>
    </w:p>
    <w:p w14:paraId="7E47D88B" w14:textId="77777777" w:rsidR="008B1FA6" w:rsidRDefault="008B1FA6">
      <w:pPr>
        <w:textAlignment w:val="baseline"/>
        <w:rPr>
          <w:rFonts w:eastAsia="Times New Roman"/>
          <w:color w:val="000000"/>
          <w:sz w:val="24"/>
        </w:rPr>
      </w:pPr>
    </w:p>
    <w:p w14:paraId="53771009" w14:textId="77777777" w:rsidR="008B1FA6" w:rsidRDefault="008B1FA6">
      <w:pPr>
        <w:textAlignment w:val="baseline"/>
        <w:rPr>
          <w:rFonts w:eastAsia="Times New Roman"/>
          <w:color w:val="000000"/>
          <w:sz w:val="24"/>
        </w:rPr>
      </w:pPr>
    </w:p>
    <w:p w14:paraId="6934050F" w14:textId="77777777" w:rsidR="008B1FA6" w:rsidRDefault="008B1FA6">
      <w:pPr>
        <w:textAlignment w:val="baseline"/>
        <w:rPr>
          <w:rFonts w:eastAsia="Times New Roman"/>
          <w:color w:val="000000"/>
          <w:sz w:val="24"/>
        </w:rPr>
      </w:pPr>
    </w:p>
    <w:p w14:paraId="6C8D6B20" w14:textId="77777777" w:rsidR="008B1FA6" w:rsidRDefault="008B1FA6">
      <w:pPr>
        <w:textAlignment w:val="baseline"/>
        <w:rPr>
          <w:rFonts w:eastAsia="Times New Roman"/>
          <w:color w:val="000000"/>
          <w:sz w:val="24"/>
        </w:rPr>
      </w:pPr>
    </w:p>
    <w:p w14:paraId="05FA04AA" w14:textId="0BB2FC80" w:rsidR="00EC48F1" w:rsidRDefault="00CB32A1">
      <w:pPr>
        <w:textAlignment w:val="baseline"/>
        <w:rPr>
          <w:rFonts w:eastAsia="Times New Roman"/>
          <w:color w:val="000000"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391A44E" wp14:editId="2444980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449060" cy="2398131"/>
                <wp:effectExtent l="0" t="0" r="27940" b="21590"/>
                <wp:wrapSquare wrapText="bothSides"/>
                <wp:docPr id="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060" cy="239813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A91A16" w14:textId="77777777" w:rsidR="00EC48F1" w:rsidRPr="009F713E" w:rsidRDefault="00CB32A1">
                            <w:pPr>
                              <w:spacing w:before="501" w:line="319" w:lineRule="exact"/>
                              <w:textAlignment w:val="baseline"/>
                              <w:rPr>
                                <w:rFonts w:ascii="Verdana" w:eastAsia="Verdana" w:hAnsi="Verdana"/>
                                <w:b/>
                                <w:color w:val="2E74B4"/>
                                <w:sz w:val="21"/>
                              </w:rPr>
                            </w:pPr>
                            <w:r w:rsidRPr="009F713E">
                              <w:rPr>
                                <w:rFonts w:ascii="Verdana" w:eastAsia="Verdana" w:hAnsi="Verdana"/>
                                <w:b/>
                                <w:color w:val="2E74B4"/>
                                <w:sz w:val="21"/>
                              </w:rPr>
                              <w:t>PPIE:</w:t>
                            </w:r>
                          </w:p>
                          <w:p w14:paraId="08E291A7" w14:textId="35873757" w:rsidR="009F713E" w:rsidRPr="00F241E3" w:rsidRDefault="00882D8A">
                            <w:pPr>
                              <w:spacing w:before="122" w:after="132" w:line="284" w:lineRule="exact"/>
                              <w:ind w:right="72"/>
                              <w:textAlignment w:val="baseline"/>
                              <w:rPr>
                                <w:rFonts w:ascii="Arial" w:eastAsia="Arial" w:hAnsi="Arial"/>
                                <w:bCs/>
                                <w:color w:val="000000"/>
                                <w:spacing w:val="-8"/>
                              </w:rPr>
                            </w:pPr>
                            <w:r w:rsidRPr="00F241E3">
                              <w:rPr>
                                <w:rFonts w:ascii="Arial" w:eastAsia="Arial" w:hAnsi="Arial"/>
                                <w:bCs/>
                                <w:color w:val="000000"/>
                                <w:spacing w:val="-8"/>
                              </w:rPr>
                              <w:t xml:space="preserve">A PPIE group will be established early in the </w:t>
                            </w:r>
                            <w:proofErr w:type="spellStart"/>
                            <w:r w:rsidR="00637235" w:rsidRPr="00F241E3">
                              <w:rPr>
                                <w:rFonts w:ascii="Arial" w:eastAsia="Arial" w:hAnsi="Arial"/>
                                <w:bCs/>
                                <w:color w:val="000000"/>
                                <w:spacing w:val="-8"/>
                              </w:rPr>
                              <w:t>programme</w:t>
                            </w:r>
                            <w:proofErr w:type="spellEnd"/>
                            <w:r w:rsidR="00637235" w:rsidRPr="00F241E3">
                              <w:rPr>
                                <w:rFonts w:ascii="Arial" w:eastAsia="Arial" w:hAnsi="Arial"/>
                                <w:bCs/>
                                <w:color w:val="000000"/>
                                <w:spacing w:val="-8"/>
                              </w:rPr>
                              <w:t xml:space="preserve"> to ensure appropriate and effective PPIE throughout the research life cycle. This will commence with </w:t>
                            </w:r>
                            <w:r w:rsidR="00184250" w:rsidRPr="00F241E3">
                              <w:rPr>
                                <w:rFonts w:ascii="Arial" w:eastAsia="Arial" w:hAnsi="Arial"/>
                                <w:bCs/>
                                <w:color w:val="000000"/>
                                <w:spacing w:val="-8"/>
                              </w:rPr>
                              <w:t xml:space="preserve">focus groups to highlight salient barriers and facilitators to vaccine uptake (stage 1); review of </w:t>
                            </w:r>
                            <w:r w:rsidR="00F241E3" w:rsidRPr="00F241E3">
                              <w:rPr>
                                <w:rFonts w:ascii="Arial" w:eastAsia="Arial" w:hAnsi="Arial"/>
                                <w:bCs/>
                                <w:color w:val="000000"/>
                                <w:spacing w:val="-8"/>
                              </w:rPr>
                              <w:t>all new therapeutic content for intervention (stage 2) and design of trial methods (stage 3).</w:t>
                            </w:r>
                          </w:p>
                          <w:p w14:paraId="012B32E8" w14:textId="77777777" w:rsidR="009F713E" w:rsidRDefault="009F713E">
                            <w:pPr>
                              <w:spacing w:before="122" w:after="132" w:line="284" w:lineRule="exact"/>
                              <w:ind w:right="72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8"/>
                              </w:rPr>
                            </w:pPr>
                          </w:p>
                          <w:p w14:paraId="260E4852" w14:textId="77777777" w:rsidR="009F713E" w:rsidRDefault="009F713E">
                            <w:pPr>
                              <w:spacing w:before="122" w:after="132" w:line="284" w:lineRule="exact"/>
                              <w:ind w:right="72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8"/>
                              </w:rPr>
                            </w:pPr>
                          </w:p>
                          <w:p w14:paraId="68BF00B7" w14:textId="0CF93EBE" w:rsidR="00EC48F1" w:rsidRDefault="00EC48F1">
                            <w:pPr>
                              <w:spacing w:before="122" w:after="132" w:line="284" w:lineRule="exact"/>
                              <w:ind w:right="72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1A44E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0;margin-top:0;width:507.8pt;height:188.85pt;z-index:-251658752;visibility:visible;mso-wrap-style:square;mso-width-percent:0;mso-height-percent:0;mso-wrap-distance-left:0;mso-wrap-distance-top:0;mso-wrap-distance-right:0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" filled="f">
                <v:textbox inset="0,0,0,0">
                  <w:txbxContent>
                    <w:p w14:paraId="49A91A16" w14:textId="77777777" w:rsidR="00EC48F1" w:rsidRPr="009F713E" w:rsidRDefault="00CB32A1">
                      <w:pPr>
                        <w:spacing w:before="501" w:line="319" w:lineRule="exact"/>
                        <w:textAlignment w:val="baseline"/>
                        <w:rPr>
                          <w:rFonts w:ascii="Verdana" w:eastAsia="Verdana" w:hAnsi="Verdana"/>
                          <w:b/>
                          <w:color w:val="2E74B4"/>
                          <w:sz w:val="21"/>
                        </w:rPr>
                      </w:pPr>
                      <w:r w:rsidRPr="009F713E">
                        <w:rPr>
                          <w:rFonts w:ascii="Verdana" w:eastAsia="Verdana" w:hAnsi="Verdana"/>
                          <w:b/>
                          <w:color w:val="2E74B4"/>
                          <w:sz w:val="21"/>
                        </w:rPr>
                        <w:t>PPIE:</w:t>
                      </w:r>
                    </w:p>
                    <w:p w14:paraId="08E291A7" w14:textId="35873757" w:rsidR="009F713E" w:rsidRPr="00F241E3" w:rsidRDefault="00882D8A">
                      <w:pPr>
                        <w:spacing w:before="122" w:after="132" w:line="284" w:lineRule="exact"/>
                        <w:ind w:right="72"/>
                        <w:textAlignment w:val="baseline"/>
                        <w:rPr>
                          <w:rFonts w:ascii="Arial" w:eastAsia="Arial" w:hAnsi="Arial"/>
                          <w:bCs/>
                          <w:color w:val="000000"/>
                          <w:spacing w:val="-8"/>
                        </w:rPr>
                      </w:pPr>
                      <w:r w:rsidRPr="00F241E3">
                        <w:rPr>
                          <w:rFonts w:ascii="Arial" w:eastAsia="Arial" w:hAnsi="Arial"/>
                          <w:bCs/>
                          <w:color w:val="000000"/>
                          <w:spacing w:val="-8"/>
                        </w:rPr>
                        <w:t xml:space="preserve">A PPIE group will be established early in the </w:t>
                      </w:r>
                      <w:proofErr w:type="spellStart"/>
                      <w:r w:rsidR="00637235" w:rsidRPr="00F241E3">
                        <w:rPr>
                          <w:rFonts w:ascii="Arial" w:eastAsia="Arial" w:hAnsi="Arial"/>
                          <w:bCs/>
                          <w:color w:val="000000"/>
                          <w:spacing w:val="-8"/>
                        </w:rPr>
                        <w:t>programme</w:t>
                      </w:r>
                      <w:proofErr w:type="spellEnd"/>
                      <w:r w:rsidR="00637235" w:rsidRPr="00F241E3">
                        <w:rPr>
                          <w:rFonts w:ascii="Arial" w:eastAsia="Arial" w:hAnsi="Arial"/>
                          <w:bCs/>
                          <w:color w:val="000000"/>
                          <w:spacing w:val="-8"/>
                        </w:rPr>
                        <w:t xml:space="preserve"> to ensure appropriate and effective PPIE throughout the research life cycle. This will commence with </w:t>
                      </w:r>
                      <w:r w:rsidR="00184250" w:rsidRPr="00F241E3">
                        <w:rPr>
                          <w:rFonts w:ascii="Arial" w:eastAsia="Arial" w:hAnsi="Arial"/>
                          <w:bCs/>
                          <w:color w:val="000000"/>
                          <w:spacing w:val="-8"/>
                        </w:rPr>
                        <w:t xml:space="preserve">focus groups to highlight salient barriers and facilitators to vaccine uptake (stage 1); review of </w:t>
                      </w:r>
                      <w:r w:rsidR="00F241E3" w:rsidRPr="00F241E3">
                        <w:rPr>
                          <w:rFonts w:ascii="Arial" w:eastAsia="Arial" w:hAnsi="Arial"/>
                          <w:bCs/>
                          <w:color w:val="000000"/>
                          <w:spacing w:val="-8"/>
                        </w:rPr>
                        <w:t>all new therapeutic content for intervention (stage 2) and design of trial methods (stage 3).</w:t>
                      </w:r>
                    </w:p>
                    <w:p w14:paraId="012B32E8" w14:textId="77777777" w:rsidR="009F713E" w:rsidRDefault="009F713E">
                      <w:pPr>
                        <w:spacing w:before="122" w:after="132" w:line="284" w:lineRule="exact"/>
                        <w:ind w:right="72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8"/>
                        </w:rPr>
                      </w:pPr>
                    </w:p>
                    <w:p w14:paraId="260E4852" w14:textId="77777777" w:rsidR="009F713E" w:rsidRDefault="009F713E">
                      <w:pPr>
                        <w:spacing w:before="122" w:after="132" w:line="284" w:lineRule="exact"/>
                        <w:ind w:right="72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8"/>
                        </w:rPr>
                      </w:pPr>
                    </w:p>
                    <w:p w14:paraId="68BF00B7" w14:textId="0CF93EBE" w:rsidR="00EC48F1" w:rsidRDefault="00EC48F1">
                      <w:pPr>
                        <w:spacing w:before="122" w:after="132" w:line="284" w:lineRule="exact"/>
                        <w:ind w:right="72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7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C48F1">
      <w:pgSz w:w="11923" w:h="16843"/>
      <w:pgMar w:top="720" w:right="1056" w:bottom="324" w:left="7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Calibri">
    <w:charset w:val="00"/>
    <w:pitch w:val="variable"/>
    <w:family w:val="roman"/>
    <w:panose1 w:val="02020603050405020304"/>
  </w:font>
  <w:font w:name="Wingdings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5751A"/>
    <w:multiLevelType w:val="multilevel"/>
    <w:tmpl w:val="75E4311E"/>
    <w:lvl w:ilvl="0">
      <w:start w:val="1"/>
      <w:numFmt w:val="bullet"/>
      <w:lvlText w:val="l"/>
      <w:lvlJc w:val="left"/>
      <w:pPr>
        <w:tabs>
          <w:tab w:val="left" w:pos="360"/>
        </w:tabs>
        <w:ind w:left="720"/>
      </w:pPr>
      <w:rPr>
        <w:rFonts w:ascii="Wingdings" w:eastAsia="Wingdings" w:hAnsi="Wingdings"/>
        <w:b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8F1"/>
    <w:rsid w:val="000439B0"/>
    <w:rsid w:val="000F0CA2"/>
    <w:rsid w:val="00184250"/>
    <w:rsid w:val="001A4433"/>
    <w:rsid w:val="001E4740"/>
    <w:rsid w:val="00281DC1"/>
    <w:rsid w:val="0029033E"/>
    <w:rsid w:val="003206A7"/>
    <w:rsid w:val="0033196F"/>
    <w:rsid w:val="003D3997"/>
    <w:rsid w:val="00471422"/>
    <w:rsid w:val="00487A37"/>
    <w:rsid w:val="004D16BE"/>
    <w:rsid w:val="00541987"/>
    <w:rsid w:val="00544515"/>
    <w:rsid w:val="005E48D6"/>
    <w:rsid w:val="005F23D7"/>
    <w:rsid w:val="00637235"/>
    <w:rsid w:val="00691CAE"/>
    <w:rsid w:val="006E3EF2"/>
    <w:rsid w:val="007157C3"/>
    <w:rsid w:val="007D502E"/>
    <w:rsid w:val="007F27E0"/>
    <w:rsid w:val="00816DE4"/>
    <w:rsid w:val="0085530C"/>
    <w:rsid w:val="00867830"/>
    <w:rsid w:val="00882D8A"/>
    <w:rsid w:val="008B1FA6"/>
    <w:rsid w:val="008D12F7"/>
    <w:rsid w:val="008E2D3E"/>
    <w:rsid w:val="00957E00"/>
    <w:rsid w:val="00980DBD"/>
    <w:rsid w:val="00993566"/>
    <w:rsid w:val="009973B6"/>
    <w:rsid w:val="009B4219"/>
    <w:rsid w:val="009E5347"/>
    <w:rsid w:val="009F3621"/>
    <w:rsid w:val="009F713E"/>
    <w:rsid w:val="00A37CEC"/>
    <w:rsid w:val="00A64BDB"/>
    <w:rsid w:val="00AB5637"/>
    <w:rsid w:val="00B32EAF"/>
    <w:rsid w:val="00B70478"/>
    <w:rsid w:val="00C14702"/>
    <w:rsid w:val="00C46C4F"/>
    <w:rsid w:val="00C559DF"/>
    <w:rsid w:val="00C64DFD"/>
    <w:rsid w:val="00C9275C"/>
    <w:rsid w:val="00CB32A1"/>
    <w:rsid w:val="00D265AF"/>
    <w:rsid w:val="00D871B3"/>
    <w:rsid w:val="00DA59AF"/>
    <w:rsid w:val="00DB4603"/>
    <w:rsid w:val="00DD6750"/>
    <w:rsid w:val="00DF63C9"/>
    <w:rsid w:val="00EC48F1"/>
    <w:rsid w:val="00F226FB"/>
    <w:rsid w:val="00F241E3"/>
    <w:rsid w:val="00F3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9D5AC"/>
  <w15:docId w15:val="{01D1FD87-5DDF-4D9A-B301-8038D9B1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vidvaxfacts.inf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3" ma:contentTypeDescription="Create a new document." ma:contentTypeScope="" ma:versionID="ea103398c87fa15fa49a5620cc0fb5ef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64bbf29d45d49662374bd47ff9dd6a54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2B95CD-9B83-4FF6-9CCF-07A06695ED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B42B7-1E49-4858-B3A0-90547F456215}">
  <ds:schemaRefs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26dade36-14ca-4890-8dfe-98e90156b7de"/>
    <ds:schemaRef ds:uri="http://schemas.microsoft.com/office/infopath/2007/PartnerControls"/>
    <ds:schemaRef ds:uri="http://schemas.microsoft.com/office/2006/documentManagement/types"/>
    <ds:schemaRef ds:uri="http://purl.org/dc/terms/"/>
    <ds:schemaRef ds:uri="1cfe8061-82c7-4184-9117-9f627f073f1f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667980B-C079-4226-8D7E-12E2F466E4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Pepper (staff)</dc:creator>
  <cp:lastModifiedBy>Kavita Vedhara (staff)</cp:lastModifiedBy>
  <cp:revision>2</cp:revision>
  <dcterms:created xsi:type="dcterms:W3CDTF">2022-01-13T10:19:00Z</dcterms:created>
  <dcterms:modified xsi:type="dcterms:W3CDTF">2022-01-13T10:19:00Z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</Properties>
</file>