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Pr="00323521" w:rsidR="00FF6AEA" w:rsidTr="18505D2C" w14:paraId="2BBBBA0D"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0A52F633" w14:textId="77777777">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0C55E7">
                  <w:rPr>
                    <w:rFonts w:asciiTheme="minorHAnsi" w:hAnsiTheme="minorHAnsi"/>
                    <w:color w:val="2E74B5" w:themeColor="accent1" w:themeShade="BF"/>
                    <w:sz w:val="28"/>
                    <w:szCs w:val="24"/>
                  </w:rPr>
                  <w:t>Manchester</w:t>
                </w:r>
                <w:proofErr w:type="spellEnd"/>
              </w:sdtContent>
            </w:sdt>
          </w:p>
        </w:tc>
      </w:tr>
      <w:tr w:rsidRPr="00323521" w:rsidR="008A5DEB" w:rsidTr="18505D2C" w14:paraId="542E86C1"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5BDD4F0D" w14:textId="0648D635">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r w:rsidR="00732277">
              <w:rPr>
                <w:rFonts w:asciiTheme="minorHAnsi" w:hAnsiTheme="minorHAnsi"/>
                <w:color w:val="2E74B5" w:themeColor="accent1" w:themeShade="BF"/>
                <w:sz w:val="28"/>
                <w:szCs w:val="24"/>
              </w:rPr>
              <w:t xml:space="preserve">  </w:t>
            </w:r>
          </w:p>
        </w:tc>
      </w:tr>
      <w:tr w:rsidRPr="00323521" w:rsidR="008A5DEB" w:rsidTr="18505D2C" w14:paraId="6F0C4CE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274ACB" w:rsidP="008A5DEB" w:rsidRDefault="00345A85" w14:paraId="195BBA71" w14:textId="334E5B17">
            <w:pPr>
              <w:spacing w:after="120"/>
              <w:rPr>
                <w:rFonts w:asciiTheme="minorHAnsi" w:hAnsiTheme="minorHAnsi"/>
                <w:szCs w:val="24"/>
              </w:rPr>
            </w:pPr>
            <w:r>
              <w:rPr>
                <w:rFonts w:asciiTheme="minorHAnsi" w:hAnsiTheme="minorHAnsi"/>
                <w:sz w:val="28"/>
                <w:szCs w:val="24"/>
              </w:rPr>
              <w:t>An in-depth qualitative exploration of factors that influence GP workforce stability</w:t>
            </w:r>
          </w:p>
        </w:tc>
      </w:tr>
      <w:tr w:rsidRPr="00323521" w:rsidR="00E0356E" w:rsidTr="18505D2C" w14:paraId="5C4EE46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45EE26AF" w14:textId="77777777">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r w:rsidRPr="002F31FE" w:rsidR="002F31FE">
              <w:rPr>
                <w:rFonts w:asciiTheme="minorHAnsi" w:hAnsiTheme="minorHAnsi"/>
                <w:szCs w:val="24"/>
              </w:rPr>
              <w:t>Names and areas of expertise to be included</w:t>
            </w:r>
          </w:p>
        </w:tc>
      </w:tr>
      <w:tr w:rsidRPr="00323521" w:rsidR="00E0356E" w:rsidTr="18505D2C" w14:paraId="14CDA300"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74ACB" w:rsidP="00274ACB" w:rsidRDefault="00345A85" w14:paraId="599D6C01" w14:textId="5D84FC4A">
            <w:pPr>
              <w:pStyle w:val="ListParagraph"/>
              <w:ind w:left="360"/>
              <w:rPr>
                <w:rFonts w:asciiTheme="minorHAnsi" w:hAnsiTheme="minorHAnsi"/>
                <w:bCs w:val="0"/>
                <w:szCs w:val="24"/>
              </w:rPr>
            </w:pPr>
            <w:r w:rsidRPr="007342FE">
              <w:rPr>
                <w:rFonts w:asciiTheme="minorHAnsi" w:hAnsiTheme="minorHAnsi"/>
                <w:bCs w:val="0"/>
                <w:szCs w:val="24"/>
              </w:rPr>
              <w:t>Dr Sharon Spooner</w:t>
            </w:r>
            <w:r>
              <w:rPr>
                <w:rFonts w:asciiTheme="minorHAnsi" w:hAnsiTheme="minorHAnsi"/>
                <w:b w:val="0"/>
                <w:szCs w:val="24"/>
              </w:rPr>
              <w:t xml:space="preserve"> – GP Clinical Lecturer with extensive experience of leading workforce research and of engaging with relevant stakeholders and policy makers</w:t>
            </w:r>
          </w:p>
          <w:p w:rsidR="007342FE" w:rsidP="006C2DBC" w:rsidRDefault="007342FE" w14:paraId="77F3123C" w14:textId="77777777">
            <w:pPr>
              <w:pStyle w:val="ListParagraph"/>
              <w:ind w:left="360"/>
              <w:rPr>
                <w:rFonts w:asciiTheme="minorHAnsi" w:hAnsiTheme="minorHAnsi"/>
                <w:bCs w:val="0"/>
                <w:szCs w:val="24"/>
              </w:rPr>
            </w:pPr>
            <w:r w:rsidRPr="007342FE">
              <w:rPr>
                <w:rFonts w:asciiTheme="minorHAnsi" w:hAnsiTheme="minorHAnsi"/>
                <w:bCs w:val="0"/>
                <w:szCs w:val="24"/>
              </w:rPr>
              <w:t xml:space="preserve">Professor Deborah </w:t>
            </w:r>
            <w:proofErr w:type="spellStart"/>
            <w:r w:rsidRPr="007342FE">
              <w:rPr>
                <w:rFonts w:asciiTheme="minorHAnsi" w:hAnsiTheme="minorHAnsi"/>
                <w:bCs w:val="0"/>
                <w:szCs w:val="24"/>
              </w:rPr>
              <w:t>Swinglehurst</w:t>
            </w:r>
            <w:proofErr w:type="spellEnd"/>
            <w:r w:rsidRPr="007342FE">
              <w:rPr>
                <w:rFonts w:asciiTheme="minorHAnsi" w:hAnsiTheme="minorHAnsi"/>
                <w:bCs w:val="0"/>
                <w:szCs w:val="24"/>
              </w:rPr>
              <w:t xml:space="preserve"> </w:t>
            </w:r>
            <w:r>
              <w:rPr>
                <w:rFonts w:asciiTheme="minorHAnsi" w:hAnsiTheme="minorHAnsi"/>
                <w:b w:val="0"/>
                <w:szCs w:val="24"/>
              </w:rPr>
              <w:t>– GP and Professor of Primary Care at Queen Mary’s University of London, with expertise in primary care organisation and ethnography</w:t>
            </w:r>
          </w:p>
          <w:p w:rsidRPr="00133FA8" w:rsidR="007342FE" w:rsidP="006C2DBC" w:rsidRDefault="007342FE" w14:paraId="02F7DD36" w14:textId="0269F4D2">
            <w:pPr>
              <w:pStyle w:val="ListParagraph"/>
              <w:ind w:left="360"/>
              <w:rPr>
                <w:rFonts w:asciiTheme="minorHAnsi" w:hAnsiTheme="minorHAnsi"/>
                <w:b w:val="0"/>
                <w:i/>
                <w:iCs/>
                <w:szCs w:val="24"/>
              </w:rPr>
            </w:pPr>
            <w:r w:rsidRPr="00133FA8">
              <w:rPr>
                <w:rFonts w:asciiTheme="minorHAnsi" w:hAnsiTheme="minorHAnsi"/>
                <w:b w:val="0"/>
                <w:i/>
                <w:iCs/>
                <w:szCs w:val="24"/>
              </w:rPr>
              <w:t xml:space="preserve">Other supervisors and project advisors may include: </w:t>
            </w:r>
          </w:p>
          <w:p w:rsidR="006C2DBC" w:rsidP="006C2DBC" w:rsidRDefault="00345A85" w14:paraId="45F804D5" w14:textId="6CF15FDF">
            <w:pPr>
              <w:pStyle w:val="ListParagraph"/>
              <w:ind w:left="360"/>
              <w:rPr>
                <w:rFonts w:asciiTheme="minorHAnsi" w:hAnsiTheme="minorHAnsi"/>
                <w:bCs w:val="0"/>
                <w:szCs w:val="24"/>
              </w:rPr>
            </w:pPr>
            <w:r w:rsidRPr="007342FE">
              <w:rPr>
                <w:rFonts w:asciiTheme="minorHAnsi" w:hAnsiTheme="minorHAnsi"/>
                <w:bCs w:val="0"/>
                <w:szCs w:val="24"/>
              </w:rPr>
              <w:t>Dr Evan Kontopantelis</w:t>
            </w:r>
            <w:r>
              <w:rPr>
                <w:rFonts w:asciiTheme="minorHAnsi" w:hAnsiTheme="minorHAnsi"/>
                <w:b w:val="0"/>
                <w:szCs w:val="24"/>
              </w:rPr>
              <w:t xml:space="preserve"> – Professor of </w:t>
            </w:r>
            <w:r w:rsidR="00714D09">
              <w:rPr>
                <w:rFonts w:asciiTheme="minorHAnsi" w:hAnsiTheme="minorHAnsi"/>
                <w:b w:val="0"/>
                <w:szCs w:val="24"/>
              </w:rPr>
              <w:t>Health Data Sciences</w:t>
            </w:r>
            <w:r>
              <w:rPr>
                <w:rFonts w:asciiTheme="minorHAnsi" w:hAnsiTheme="minorHAnsi"/>
                <w:b w:val="0"/>
                <w:szCs w:val="24"/>
              </w:rPr>
              <w:t xml:space="preserve">, PI on a recent quantitative project </w:t>
            </w:r>
            <w:r w:rsidR="006C2DBC">
              <w:rPr>
                <w:rFonts w:asciiTheme="minorHAnsi" w:hAnsiTheme="minorHAnsi"/>
                <w:b w:val="0"/>
                <w:szCs w:val="24"/>
              </w:rPr>
              <w:t>exploring GP turnover</w:t>
            </w:r>
          </w:p>
          <w:p w:rsidR="00EC506F" w:rsidP="006C2DBC" w:rsidRDefault="00EC506F" w14:paraId="52068C10" w14:textId="1F9DB58E">
            <w:pPr>
              <w:pStyle w:val="ListParagraph"/>
              <w:ind w:left="360"/>
              <w:rPr>
                <w:rFonts w:asciiTheme="minorHAnsi" w:hAnsiTheme="minorHAnsi"/>
                <w:szCs w:val="24"/>
              </w:rPr>
            </w:pPr>
            <w:r w:rsidRPr="007342FE">
              <w:rPr>
                <w:rFonts w:asciiTheme="minorHAnsi" w:hAnsiTheme="minorHAnsi"/>
                <w:szCs w:val="24"/>
              </w:rPr>
              <w:t>Dr Rosa Parisi</w:t>
            </w:r>
            <w:r w:rsidRPr="00EC506F">
              <w:rPr>
                <w:rFonts w:asciiTheme="minorHAnsi" w:hAnsiTheme="minorHAnsi"/>
                <w:b w:val="0"/>
                <w:bCs w:val="0"/>
                <w:szCs w:val="24"/>
              </w:rPr>
              <w:t xml:space="preserve"> </w:t>
            </w:r>
            <w:r>
              <w:rPr>
                <w:rFonts w:asciiTheme="minorHAnsi" w:hAnsiTheme="minorHAnsi"/>
                <w:b w:val="0"/>
                <w:bCs w:val="0"/>
                <w:szCs w:val="24"/>
              </w:rPr>
              <w:t>–</w:t>
            </w:r>
            <w:r w:rsidRPr="00EC506F">
              <w:rPr>
                <w:rFonts w:asciiTheme="minorHAnsi" w:hAnsiTheme="minorHAnsi"/>
                <w:b w:val="0"/>
                <w:bCs w:val="0"/>
                <w:szCs w:val="24"/>
              </w:rPr>
              <w:t xml:space="preserve"> </w:t>
            </w:r>
            <w:r>
              <w:rPr>
                <w:rFonts w:asciiTheme="minorHAnsi" w:hAnsiTheme="minorHAnsi"/>
                <w:b w:val="0"/>
                <w:bCs w:val="0"/>
                <w:szCs w:val="24"/>
              </w:rPr>
              <w:t>Research Fellow with expertise in quantitative analysis of GP turnover</w:t>
            </w:r>
          </w:p>
          <w:p w:rsidRPr="00323521" w:rsidR="00274ACB" w:rsidP="006C2DBC" w:rsidRDefault="006C2DBC" w14:paraId="0A1CFAC9" w14:textId="21C409D3">
            <w:pPr>
              <w:pStyle w:val="ListParagraph"/>
              <w:ind w:left="360"/>
              <w:rPr>
                <w:rFonts w:asciiTheme="minorHAnsi" w:hAnsiTheme="minorHAnsi"/>
                <w:b w:val="0"/>
                <w:szCs w:val="24"/>
              </w:rPr>
            </w:pPr>
            <w:r w:rsidRPr="007342FE">
              <w:rPr>
                <w:rFonts w:asciiTheme="minorHAnsi" w:hAnsiTheme="minorHAnsi"/>
                <w:szCs w:val="24"/>
              </w:rPr>
              <w:t>Professor Kath Checkland</w:t>
            </w:r>
            <w:r w:rsidRPr="006C2DBC">
              <w:rPr>
                <w:rFonts w:asciiTheme="minorHAnsi" w:hAnsiTheme="minorHAnsi"/>
                <w:b w:val="0"/>
                <w:bCs w:val="0"/>
                <w:szCs w:val="24"/>
              </w:rPr>
              <w:t xml:space="preserve"> – GP and Professor of </w:t>
            </w:r>
            <w:r>
              <w:rPr>
                <w:rFonts w:asciiTheme="minorHAnsi" w:hAnsiTheme="minorHAnsi"/>
                <w:b w:val="0"/>
                <w:bCs w:val="0"/>
                <w:szCs w:val="24"/>
              </w:rPr>
              <w:t>Health Policy and Primary Care, with extensive experience of qualitative research to inform national policy, including strong links with DHSC</w:t>
            </w:r>
          </w:p>
        </w:tc>
      </w:tr>
      <w:tr w:rsidRPr="00323521" w:rsidR="00787EF3" w:rsidTr="18505D2C" w14:paraId="15FD31C7"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2FF2F065" w14:textId="77777777">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18505D2C" w14:paraId="2FBD973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0F0573" w:rsidR="00787EF3" w:rsidP="000F0573" w:rsidRDefault="006C2DBC" w14:paraId="231FBC5D" w14:textId="02B765FC">
            <w:pPr>
              <w:pStyle w:val="ListParagraph"/>
              <w:ind w:left="360"/>
              <w:rPr>
                <w:rFonts w:asciiTheme="minorHAnsi" w:hAnsiTheme="minorHAnsi"/>
                <w:b w:val="0"/>
                <w:szCs w:val="24"/>
              </w:rPr>
            </w:pPr>
            <w:r w:rsidRPr="006C2DBC">
              <w:rPr>
                <w:rFonts w:asciiTheme="minorHAnsi" w:hAnsiTheme="minorHAnsi"/>
                <w:b w:val="0"/>
                <w:szCs w:val="24"/>
              </w:rPr>
              <w:t xml:space="preserve">The project would sit within a team working on </w:t>
            </w:r>
            <w:proofErr w:type="gramStart"/>
            <w:r w:rsidRPr="006C2DBC">
              <w:rPr>
                <w:rFonts w:asciiTheme="minorHAnsi" w:hAnsiTheme="minorHAnsi"/>
                <w:b w:val="0"/>
                <w:szCs w:val="24"/>
              </w:rPr>
              <w:t>a number of</w:t>
            </w:r>
            <w:proofErr w:type="gramEnd"/>
            <w:r w:rsidRPr="006C2DBC">
              <w:rPr>
                <w:rFonts w:asciiTheme="minorHAnsi" w:hAnsiTheme="minorHAnsi"/>
                <w:b w:val="0"/>
                <w:szCs w:val="24"/>
              </w:rPr>
              <w:t xml:space="preserve"> workforce-related projects in primary care, including a cross-school project exploring the </w:t>
            </w:r>
            <w:r>
              <w:rPr>
                <w:rFonts w:asciiTheme="minorHAnsi" w:hAnsiTheme="minorHAnsi"/>
                <w:b w:val="0"/>
                <w:szCs w:val="24"/>
              </w:rPr>
              <w:t>impact of ‘hidden work’ on GPs’ experiences of their working lives. This project is a collaboration between the University of Manchester, Exeter and Q</w:t>
            </w:r>
            <w:r w:rsidR="000F0573">
              <w:rPr>
                <w:rFonts w:asciiTheme="minorHAnsi" w:hAnsiTheme="minorHAnsi"/>
                <w:b w:val="0"/>
                <w:szCs w:val="24"/>
              </w:rPr>
              <w:t>ueen</w:t>
            </w:r>
            <w:r>
              <w:rPr>
                <w:rFonts w:asciiTheme="minorHAnsi" w:hAnsiTheme="minorHAnsi"/>
                <w:b w:val="0"/>
                <w:szCs w:val="24"/>
              </w:rPr>
              <w:t xml:space="preserve"> M</w:t>
            </w:r>
            <w:r w:rsidRPr="000F0573">
              <w:rPr>
                <w:rFonts w:asciiTheme="minorHAnsi" w:hAnsiTheme="minorHAnsi"/>
                <w:b w:val="0"/>
                <w:szCs w:val="24"/>
              </w:rPr>
              <w:t>ary</w:t>
            </w:r>
            <w:r w:rsidRPr="000F0573" w:rsidR="000F0573">
              <w:rPr>
                <w:rFonts w:asciiTheme="minorHAnsi" w:hAnsiTheme="minorHAnsi"/>
                <w:b w:val="0"/>
                <w:szCs w:val="24"/>
              </w:rPr>
              <w:t xml:space="preserve"> </w:t>
            </w:r>
            <w:r w:rsidRPr="000F0573">
              <w:rPr>
                <w:rFonts w:asciiTheme="minorHAnsi" w:hAnsiTheme="minorHAnsi"/>
                <w:b w:val="0"/>
                <w:szCs w:val="24"/>
              </w:rPr>
              <w:t>University of London, and the successful PhD student would be able to work across these three departments</w:t>
            </w:r>
            <w:r w:rsidRPr="000F0573" w:rsidR="000F0573">
              <w:rPr>
                <w:rFonts w:asciiTheme="minorHAnsi" w:hAnsiTheme="minorHAnsi"/>
                <w:b w:val="0"/>
                <w:szCs w:val="24"/>
              </w:rPr>
              <w:t xml:space="preserve">, building collaborative links and ensuring a broad understanding of the wider context of general practice. The student would also work alongside members of the Policy Research Unit in Health and Care Systems and Commissioning, with the opportunity to build links with those responsible for primary care policy.  </w:t>
            </w:r>
          </w:p>
          <w:p w:rsidR="00787EF3" w:rsidP="00274ACB" w:rsidRDefault="00787EF3" w14:paraId="1389FD0D" w14:textId="77777777">
            <w:pPr>
              <w:pStyle w:val="ListParagraph"/>
              <w:ind w:left="360"/>
              <w:rPr>
                <w:rFonts w:asciiTheme="minorHAnsi" w:hAnsiTheme="minorHAnsi"/>
                <w:b w:val="0"/>
                <w:szCs w:val="24"/>
              </w:rPr>
            </w:pPr>
          </w:p>
        </w:tc>
      </w:tr>
      <w:tr w:rsidRPr="00323521" w:rsidR="00E0356E" w:rsidTr="18505D2C" w14:paraId="31DDE53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175EFB5D"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18505D2C" w14:paraId="48AE1505"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45A85" w:rsidR="00564DD2" w:rsidP="00140508" w:rsidRDefault="005F1D79" w14:paraId="04483C8F" w14:textId="5A874105">
            <w:pPr>
              <w:spacing w:after="120"/>
              <w:jc w:val="both"/>
              <w:rPr>
                <w:rFonts w:asciiTheme="minorHAnsi" w:hAnsiTheme="minorHAnsi"/>
                <w:b w:val="0"/>
                <w:bCs w:val="0"/>
                <w:szCs w:val="24"/>
              </w:rPr>
            </w:pPr>
            <w:r>
              <w:rPr>
                <w:rFonts w:asciiTheme="minorHAnsi" w:hAnsiTheme="minorHAnsi"/>
                <w:b w:val="0"/>
                <w:bCs w:val="0"/>
                <w:szCs w:val="24"/>
              </w:rPr>
              <w:t xml:space="preserve">There is generally agreed to be an ongoing workforce crisis in primary care in the UK, with recruitment and retention failing to keep pace with the needs of the system </w:t>
            </w:r>
            <w:r w:rsidR="00133FA8">
              <w:rPr>
                <w:rFonts w:asciiTheme="minorHAnsi" w:hAnsiTheme="minorHAnsi"/>
                <w:b w:val="0"/>
                <w:bCs w:val="0"/>
                <w:szCs w:val="24"/>
              </w:rPr>
              <w:fldChar w:fldCharType="begin"/>
            </w:r>
            <w:r w:rsidR="00133FA8">
              <w:rPr>
                <w:rFonts w:asciiTheme="minorHAnsi" w:hAnsiTheme="minorHAnsi"/>
                <w:b w:val="0"/>
                <w:bCs w:val="0"/>
                <w:szCs w:val="24"/>
              </w:rPr>
              <w:instrText xml:space="preserve"> ADDIN EN.CITE &lt;EndNote&gt;&lt;Cite&gt;&lt;Author&gt;Buchan&lt;/Author&gt;&lt;Year&gt;2019&lt;/Year&gt;&lt;RecNum&gt;5052&lt;/RecNum&gt;&lt;DisplayText&gt;(1)&lt;/DisplayText&gt;&lt;record&gt;&lt;rec-number&gt;5052&lt;/rec-number&gt;&lt;foreign-keys&gt;&lt;key app="EN" db-id="dxexws9edw2w2se05wgp5ap8z2esvxzvwtvs" timestamp="1641986324"&gt;5052&lt;/key&gt;&lt;/foreign-keys&gt;&lt;ref-type name="Journal Article"&gt;17&lt;/ref-type&gt;&lt;contributors&gt;&lt;authors&gt;&lt;author&gt;Buchan, James&lt;/author&gt;&lt;author&gt;Charlesworth, Anita&lt;/author&gt;&lt;author&gt;Gershlick, Ben&lt;/author&gt;&lt;author&gt;Seccombe, Ian&lt;/author&gt;&lt;/authors&gt;&lt;/contributors&gt;&lt;titles&gt;&lt;title&gt;A critical moment: NHS staffing trends, retention and attrition&lt;/title&gt;&lt;secondary-title&gt;London: Health Foundation&lt;/secondary-title&gt;&lt;/titles&gt;&lt;periodical&gt;&lt;full-title&gt;London: Health Foundation&lt;/full-title&gt;&lt;/periodical&gt;&lt;dates&gt;&lt;year&gt;2019&lt;/year&gt;&lt;/dates&gt;&lt;urls&gt;&lt;/urls&gt;&lt;/record&gt;&lt;/Cite&gt;&lt;/EndNote&gt;</w:instrText>
            </w:r>
            <w:r w:rsidR="00133FA8">
              <w:rPr>
                <w:rFonts w:asciiTheme="minorHAnsi" w:hAnsiTheme="minorHAnsi"/>
                <w:b w:val="0"/>
                <w:bCs w:val="0"/>
                <w:szCs w:val="24"/>
              </w:rPr>
              <w:fldChar w:fldCharType="separate"/>
            </w:r>
            <w:r w:rsidR="00133FA8">
              <w:rPr>
                <w:rFonts w:asciiTheme="minorHAnsi" w:hAnsiTheme="minorHAnsi"/>
                <w:b w:val="0"/>
                <w:bCs w:val="0"/>
                <w:noProof/>
                <w:szCs w:val="24"/>
              </w:rPr>
              <w:t>(1)</w:t>
            </w:r>
            <w:r w:rsidR="00133FA8">
              <w:rPr>
                <w:rFonts w:asciiTheme="minorHAnsi" w:hAnsiTheme="minorHAnsi"/>
                <w:b w:val="0"/>
                <w:bCs w:val="0"/>
                <w:szCs w:val="24"/>
              </w:rPr>
              <w:fldChar w:fldCharType="end"/>
            </w:r>
            <w:r>
              <w:rPr>
                <w:rFonts w:asciiTheme="minorHAnsi" w:hAnsiTheme="minorHAnsi"/>
                <w:b w:val="0"/>
                <w:bCs w:val="0"/>
                <w:szCs w:val="24"/>
              </w:rPr>
              <w:t>.</w:t>
            </w:r>
            <w:r w:rsidRPr="00345A85" w:rsidR="003540CA">
              <w:rPr>
                <w:rFonts w:asciiTheme="minorHAnsi" w:hAnsiTheme="minorHAnsi"/>
                <w:b w:val="0"/>
                <w:bCs w:val="0"/>
                <w:szCs w:val="24"/>
              </w:rPr>
              <w:t xml:space="preserve"> Quantitative research has provided useful evidence about the extent and factors associated with GP turnover</w:t>
            </w:r>
            <w:r w:rsidRPr="00345A85" w:rsidR="00564DD2">
              <w:rPr>
                <w:rFonts w:asciiTheme="minorHAnsi" w:hAnsiTheme="minorHAnsi"/>
                <w:b w:val="0"/>
                <w:bCs w:val="0"/>
                <w:szCs w:val="24"/>
              </w:rPr>
              <w:t xml:space="preserve"> </w:t>
            </w:r>
            <w:r w:rsidR="00133FA8">
              <w:rPr>
                <w:rFonts w:asciiTheme="minorHAnsi" w:hAnsiTheme="minorHAnsi"/>
                <w:szCs w:val="24"/>
              </w:rPr>
              <w:fldChar w:fldCharType="begin"/>
            </w:r>
            <w:r w:rsidR="00133FA8">
              <w:rPr>
                <w:rFonts w:asciiTheme="minorHAnsi" w:hAnsiTheme="minorHAnsi"/>
                <w:szCs w:val="24"/>
              </w:rPr>
              <w:instrText xml:space="preserve"> ADDIN EN.CITE &lt;EndNote&gt;&lt;Cite&gt;&lt;Author&gt;Parisi&lt;/Author&gt;&lt;Year&gt;2021&lt;/Year&gt;&lt;RecNum&gt;5050&lt;/RecNum&gt;&lt;DisplayText&gt;(2)&lt;/DisplayText&gt;&lt;record&gt;&lt;rec-number&gt;5050&lt;/rec-number&gt;&lt;foreign-keys&gt;&lt;key app="EN" db-id="dxexws9edw2w2se05wgp5ap8z2esvxzvwtvs" timestamp="1641911420"&gt;5050&lt;/key&gt;&lt;/foreign-keys&gt;&lt;ref-type name="Journal Article"&gt;17&lt;/ref-type&gt;&lt;contributors&gt;&lt;authors&gt;&lt;author&gt;Parisi, Rosa&lt;/author&gt;&lt;author&gt;Lau, Yiu-Shing&lt;/author&gt;&lt;author&gt;Bower, Peter&lt;/author&gt;&lt;author&gt;Checkland, Kath&lt;/author&gt;&lt;author&gt;Rubery, Jill&lt;/author&gt;&lt;author&gt;Sutton, Matt&lt;/author&gt;&lt;author&gt;Giles, Sally J&lt;/author&gt;&lt;author&gt;Esmail, Aneez&lt;/author&gt;&lt;author&gt;Spooner, Sharon&lt;/author&gt;&lt;author&gt;Kontopantelis, Evangelos&lt;/author&gt;&lt;/authors&gt;&lt;/contributors&gt;&lt;titles&gt;&lt;title&gt;Rates of turnover among general practitioners: a retrospective study of all English general practices between 2007 and 2019&lt;/title&gt;&lt;secondary-title&gt;BMJ open&lt;/secondary-title&gt;&lt;/titles&gt;&lt;periodical&gt;&lt;full-title&gt;BMJ Open&lt;/full-title&gt;&lt;/periodical&gt;&lt;pages&gt;e049827&lt;/pages&gt;&lt;volume&gt;11&lt;/volume&gt;&lt;number&gt;8&lt;/number&gt;&lt;dates&gt;&lt;year&gt;2021&lt;/year&gt;&lt;/dates&gt;&lt;isbn&gt;2044-6055&lt;/isbn&gt;&lt;urls&gt;&lt;/urls&gt;&lt;/record&gt;&lt;/Cite&gt;&lt;/EndNote&gt;</w:instrText>
            </w:r>
            <w:r w:rsidR="00133FA8">
              <w:rPr>
                <w:rFonts w:asciiTheme="minorHAnsi" w:hAnsiTheme="minorHAnsi"/>
                <w:szCs w:val="24"/>
              </w:rPr>
              <w:fldChar w:fldCharType="separate"/>
            </w:r>
            <w:r w:rsidRPr="00133FA8" w:rsidR="00133FA8">
              <w:rPr>
                <w:rFonts w:asciiTheme="minorHAnsi" w:hAnsiTheme="minorHAnsi"/>
                <w:b w:val="0"/>
                <w:bCs w:val="0"/>
                <w:noProof/>
                <w:szCs w:val="24"/>
              </w:rPr>
              <w:t>(2)</w:t>
            </w:r>
            <w:r w:rsidR="00133FA8">
              <w:rPr>
                <w:rFonts w:asciiTheme="minorHAnsi" w:hAnsiTheme="minorHAnsi"/>
                <w:szCs w:val="24"/>
              </w:rPr>
              <w:fldChar w:fldCharType="end"/>
            </w:r>
            <w:r w:rsidRPr="00345A85" w:rsidR="003540CA">
              <w:rPr>
                <w:rFonts w:asciiTheme="minorHAnsi" w:hAnsiTheme="minorHAnsi"/>
                <w:b w:val="0"/>
                <w:bCs w:val="0"/>
                <w:szCs w:val="24"/>
              </w:rPr>
              <w:t xml:space="preserve">, but if current trends are to be reversed we need a more detailed understanding of why people leave practice, reduce their working hours or move between practices. </w:t>
            </w:r>
            <w:r>
              <w:rPr>
                <w:rFonts w:asciiTheme="minorHAnsi" w:hAnsiTheme="minorHAnsi"/>
                <w:b w:val="0"/>
                <w:bCs w:val="0"/>
                <w:szCs w:val="24"/>
              </w:rPr>
              <w:t xml:space="preserve">Turnover matters for </w:t>
            </w:r>
            <w:proofErr w:type="gramStart"/>
            <w:r>
              <w:rPr>
                <w:rFonts w:asciiTheme="minorHAnsi" w:hAnsiTheme="minorHAnsi"/>
                <w:b w:val="0"/>
                <w:bCs w:val="0"/>
                <w:szCs w:val="24"/>
              </w:rPr>
              <w:t>a number of</w:t>
            </w:r>
            <w:proofErr w:type="gramEnd"/>
            <w:r>
              <w:rPr>
                <w:rFonts w:asciiTheme="minorHAnsi" w:hAnsiTheme="minorHAnsi"/>
                <w:b w:val="0"/>
                <w:bCs w:val="0"/>
                <w:szCs w:val="24"/>
              </w:rPr>
              <w:t xml:space="preserve"> reasons. Firstly, high turnover threatens continuity of care, which is an important element in ensuring quality of care </w:t>
            </w:r>
            <w:r w:rsidR="00133FA8">
              <w:rPr>
                <w:rFonts w:asciiTheme="minorHAnsi" w:hAnsiTheme="minorHAnsi"/>
                <w:b w:val="0"/>
                <w:bCs w:val="0"/>
                <w:szCs w:val="24"/>
              </w:rPr>
              <w:fldChar w:fldCharType="begin"/>
            </w:r>
            <w:r w:rsidR="00133FA8">
              <w:rPr>
                <w:rFonts w:asciiTheme="minorHAnsi" w:hAnsiTheme="minorHAnsi"/>
                <w:b w:val="0"/>
                <w:bCs w:val="0"/>
                <w:szCs w:val="24"/>
              </w:rPr>
              <w:instrText xml:space="preserve"> ADDIN EN.CITE &lt;EndNote&gt;&lt;Cite&gt;&lt;Author&gt;Sandvik&lt;/Author&gt;&lt;Year&gt;2021&lt;/Year&gt;&lt;RecNum&gt;5048&lt;/RecNum&gt;&lt;DisplayText&gt;(3)&lt;/DisplayText&gt;&lt;record&gt;&lt;rec-number&gt;5048&lt;/rec-number&gt;&lt;foreign-keys&gt;&lt;key app="EN" db-id="dxexws9edw2w2se05wgp5ap8z2esvxzvwtvs" timestamp="1641910994"&gt;5048&lt;/key&gt;&lt;/foreign-keys&gt;&lt;ref-type name="Journal Article"&gt;17&lt;/ref-type&gt;&lt;contributors&gt;&lt;authors&gt;&lt;author&gt;Sandvik, Hogne&lt;/author&gt;&lt;author&gt;Hetlevik, Øystein&lt;/author&gt;&lt;author&gt;Blinkenberg, Jesper&lt;/author&gt;&lt;author&gt;Hunskaar, Steinar&lt;/author&gt;&lt;/authors&gt;&lt;/contributors&gt;&lt;titles&gt;&lt;title&gt;Continuity in general practice as predictor of mortality, acute hospitalisation, and use of out-of-hours care: a registry-based observational study in Norway&lt;/title&gt;&lt;secondary-title&gt;British Journal of General Practice&lt;/secondary-title&gt;&lt;/titles&gt;&lt;periodical&gt;&lt;full-title&gt;British Journal of General Practice&lt;/full-title&gt;&lt;/periodical&gt;&lt;pages&gt;BJGP.2021.0340&lt;/pages&gt;&lt;dates&gt;&lt;year&gt;2021&lt;/year&gt;&lt;/dates&gt;&lt;urls&gt;&lt;related-urls&gt;&lt;url&gt;http://bjgp.org/content/early/2021/10/04/BJGP.2021.0340.abstract&lt;/url&gt;&lt;/related-urls&gt;&lt;/urls&gt;&lt;electronic-resource-num&gt;10.3399/BJGP.2021.0340&lt;/electronic-resource-num&gt;&lt;/record&gt;&lt;/Cite&gt;&lt;/EndNote&gt;</w:instrText>
            </w:r>
            <w:r w:rsidR="00133FA8">
              <w:rPr>
                <w:rFonts w:asciiTheme="minorHAnsi" w:hAnsiTheme="minorHAnsi"/>
                <w:b w:val="0"/>
                <w:bCs w:val="0"/>
                <w:szCs w:val="24"/>
              </w:rPr>
              <w:fldChar w:fldCharType="separate"/>
            </w:r>
            <w:r w:rsidR="00133FA8">
              <w:rPr>
                <w:rFonts w:asciiTheme="minorHAnsi" w:hAnsiTheme="minorHAnsi"/>
                <w:b w:val="0"/>
                <w:bCs w:val="0"/>
                <w:noProof/>
                <w:szCs w:val="24"/>
              </w:rPr>
              <w:t>(3)</w:t>
            </w:r>
            <w:r w:rsidR="00133FA8">
              <w:rPr>
                <w:rFonts w:asciiTheme="minorHAnsi" w:hAnsiTheme="minorHAnsi"/>
                <w:b w:val="0"/>
                <w:bCs w:val="0"/>
                <w:szCs w:val="24"/>
              </w:rPr>
              <w:fldChar w:fldCharType="end"/>
            </w:r>
            <w:r>
              <w:rPr>
                <w:rFonts w:asciiTheme="minorHAnsi" w:hAnsiTheme="minorHAnsi"/>
                <w:b w:val="0"/>
                <w:bCs w:val="0"/>
                <w:szCs w:val="24"/>
              </w:rPr>
              <w:t xml:space="preserve">. Secondly, there is a danger that practices experiencing high turnover become destabilised, as additional pressures fall on those left behind. Finally, </w:t>
            </w:r>
            <w:r w:rsidR="00133FA8">
              <w:rPr>
                <w:rFonts w:asciiTheme="minorHAnsi" w:hAnsiTheme="minorHAnsi"/>
                <w:b w:val="0"/>
                <w:bCs w:val="0"/>
                <w:szCs w:val="24"/>
              </w:rPr>
              <w:t>experience of working in a struggling practice may accelerate exit from the profession. T</w:t>
            </w:r>
            <w:r w:rsidRPr="00345A85" w:rsidR="00564DD2">
              <w:rPr>
                <w:rFonts w:asciiTheme="minorHAnsi" w:hAnsiTheme="minorHAnsi"/>
                <w:b w:val="0"/>
                <w:bCs w:val="0"/>
                <w:szCs w:val="24"/>
              </w:rPr>
              <w:t xml:space="preserve">here has been very little qualitative research on this topic, and none which explores the impact of new approaches to GP careers such as the introduction of early career fellowship positions. </w:t>
            </w:r>
          </w:p>
          <w:p w:rsidRPr="00345A85" w:rsidR="00715056" w:rsidP="00140508" w:rsidRDefault="0022491D" w14:paraId="4F6AF235" w14:textId="23E44B7F">
            <w:pPr>
              <w:spacing w:after="120"/>
              <w:jc w:val="both"/>
              <w:rPr>
                <w:rFonts w:asciiTheme="minorHAnsi" w:hAnsiTheme="minorHAnsi"/>
                <w:b w:val="0"/>
                <w:bCs w:val="0"/>
                <w:szCs w:val="24"/>
              </w:rPr>
            </w:pPr>
            <w:r w:rsidRPr="00345A85">
              <w:rPr>
                <w:rFonts w:asciiTheme="minorHAnsi" w:hAnsiTheme="minorHAnsi"/>
                <w:b w:val="0"/>
                <w:bCs w:val="0"/>
                <w:szCs w:val="24"/>
              </w:rPr>
              <w:t xml:space="preserve">Aim: </w:t>
            </w:r>
            <w:r w:rsidRPr="00345A85" w:rsidR="00564DD2">
              <w:rPr>
                <w:rFonts w:asciiTheme="minorHAnsi" w:hAnsiTheme="minorHAnsi"/>
                <w:b w:val="0"/>
                <w:bCs w:val="0"/>
                <w:szCs w:val="24"/>
              </w:rPr>
              <w:t xml:space="preserve">to understand the factors driving GP turnover, with a particular focus on factors operating at different career stages and in different contexts. </w:t>
            </w:r>
          </w:p>
          <w:p w:rsidRPr="00345A85" w:rsidR="00564DD2" w:rsidP="00140508" w:rsidRDefault="00564DD2" w14:paraId="02856EDE" w14:textId="5C9992C8">
            <w:pPr>
              <w:spacing w:after="120"/>
              <w:jc w:val="both"/>
              <w:rPr>
                <w:rFonts w:asciiTheme="minorHAnsi" w:hAnsiTheme="minorHAnsi"/>
                <w:b w:val="0"/>
                <w:bCs w:val="0"/>
                <w:szCs w:val="24"/>
              </w:rPr>
            </w:pPr>
            <w:r w:rsidRPr="00345A85">
              <w:rPr>
                <w:rFonts w:asciiTheme="minorHAnsi" w:hAnsiTheme="minorHAnsi"/>
                <w:b w:val="0"/>
                <w:bCs w:val="0"/>
                <w:szCs w:val="24"/>
              </w:rPr>
              <w:t>Objectives:</w:t>
            </w:r>
          </w:p>
          <w:p w:rsidRPr="00345A85" w:rsidR="00564DD2" w:rsidP="00564DD2" w:rsidRDefault="00564DD2" w14:paraId="0AA0E291" w14:textId="1D584C26">
            <w:pPr>
              <w:pStyle w:val="ListParagraph"/>
              <w:numPr>
                <w:ilvl w:val="0"/>
                <w:numId w:val="3"/>
              </w:numPr>
              <w:spacing w:after="120"/>
              <w:jc w:val="both"/>
              <w:rPr>
                <w:rFonts w:asciiTheme="minorHAnsi" w:hAnsiTheme="minorHAnsi"/>
                <w:b w:val="0"/>
                <w:bCs w:val="0"/>
                <w:szCs w:val="24"/>
              </w:rPr>
            </w:pPr>
            <w:r w:rsidRPr="00345A85">
              <w:rPr>
                <w:rFonts w:asciiTheme="minorHAnsi" w:hAnsiTheme="minorHAnsi"/>
                <w:b w:val="0"/>
                <w:bCs w:val="0"/>
                <w:szCs w:val="24"/>
              </w:rPr>
              <w:t xml:space="preserve">To understand </w:t>
            </w:r>
            <w:r w:rsidRPr="00345A85" w:rsidR="00415CBB">
              <w:rPr>
                <w:rFonts w:asciiTheme="minorHAnsi" w:hAnsiTheme="minorHAnsi"/>
                <w:b w:val="0"/>
                <w:bCs w:val="0"/>
                <w:szCs w:val="24"/>
              </w:rPr>
              <w:t xml:space="preserve">the day-to-day realities of GP careers in the UK, using a lifecycle approach and considering expectations and desires around early, </w:t>
            </w:r>
            <w:proofErr w:type="gramStart"/>
            <w:r w:rsidRPr="00345A85" w:rsidR="00415CBB">
              <w:rPr>
                <w:rFonts w:asciiTheme="minorHAnsi" w:hAnsiTheme="minorHAnsi"/>
                <w:b w:val="0"/>
                <w:bCs w:val="0"/>
                <w:szCs w:val="24"/>
              </w:rPr>
              <w:t>mid</w:t>
            </w:r>
            <w:proofErr w:type="gramEnd"/>
            <w:r w:rsidRPr="00345A85" w:rsidR="00415CBB">
              <w:rPr>
                <w:rFonts w:asciiTheme="minorHAnsi" w:hAnsiTheme="minorHAnsi"/>
                <w:b w:val="0"/>
                <w:bCs w:val="0"/>
                <w:szCs w:val="24"/>
              </w:rPr>
              <w:t xml:space="preserve"> and late careers</w:t>
            </w:r>
          </w:p>
          <w:p w:rsidRPr="00345A85" w:rsidR="00415CBB" w:rsidP="00564DD2" w:rsidRDefault="00415CBB" w14:paraId="3BBAB517" w14:textId="09E877E2">
            <w:pPr>
              <w:pStyle w:val="ListParagraph"/>
              <w:numPr>
                <w:ilvl w:val="0"/>
                <w:numId w:val="3"/>
              </w:numPr>
              <w:spacing w:after="120"/>
              <w:jc w:val="both"/>
              <w:rPr>
                <w:rFonts w:asciiTheme="minorHAnsi" w:hAnsiTheme="minorHAnsi"/>
                <w:b w:val="0"/>
                <w:bCs w:val="0"/>
                <w:szCs w:val="24"/>
              </w:rPr>
            </w:pPr>
            <w:r w:rsidRPr="00345A85">
              <w:rPr>
                <w:rFonts w:asciiTheme="minorHAnsi" w:hAnsiTheme="minorHAnsi"/>
                <w:b w:val="0"/>
                <w:bCs w:val="0"/>
                <w:szCs w:val="24"/>
              </w:rPr>
              <w:t xml:space="preserve">To explore the factors supporting and inhibiting stable employment </w:t>
            </w:r>
            <w:r w:rsidR="00FD6895">
              <w:rPr>
                <w:rFonts w:asciiTheme="minorHAnsi" w:hAnsiTheme="minorHAnsi"/>
                <w:b w:val="0"/>
                <w:bCs w:val="0"/>
                <w:szCs w:val="24"/>
              </w:rPr>
              <w:t xml:space="preserve">providing continuity of care to patients </w:t>
            </w:r>
            <w:r w:rsidRPr="00345A85">
              <w:rPr>
                <w:rFonts w:asciiTheme="minorHAnsi" w:hAnsiTheme="minorHAnsi"/>
                <w:b w:val="0"/>
                <w:bCs w:val="0"/>
                <w:szCs w:val="24"/>
              </w:rPr>
              <w:t>at each life stage</w:t>
            </w:r>
          </w:p>
          <w:p w:rsidRPr="00345A85" w:rsidR="00415CBB" w:rsidP="00564DD2" w:rsidRDefault="00415CBB" w14:paraId="1CF134F7" w14:textId="165AD720">
            <w:pPr>
              <w:pStyle w:val="ListParagraph"/>
              <w:numPr>
                <w:ilvl w:val="0"/>
                <w:numId w:val="3"/>
              </w:numPr>
              <w:spacing w:after="120"/>
              <w:jc w:val="both"/>
              <w:rPr>
                <w:rFonts w:asciiTheme="minorHAnsi" w:hAnsiTheme="minorHAnsi"/>
                <w:b w:val="0"/>
                <w:bCs w:val="0"/>
                <w:szCs w:val="24"/>
              </w:rPr>
            </w:pPr>
            <w:r w:rsidRPr="00345A85">
              <w:rPr>
                <w:rFonts w:asciiTheme="minorHAnsi" w:hAnsiTheme="minorHAnsi"/>
                <w:b w:val="0"/>
                <w:bCs w:val="0"/>
                <w:szCs w:val="24"/>
              </w:rPr>
              <w:t>To consider how careers at each stage might be made more rewardin</w:t>
            </w:r>
            <w:r w:rsidR="00FD6895">
              <w:rPr>
                <w:rFonts w:asciiTheme="minorHAnsi" w:hAnsiTheme="minorHAnsi"/>
                <w:b w:val="0"/>
                <w:bCs w:val="0"/>
                <w:szCs w:val="24"/>
              </w:rPr>
              <w:t>g</w:t>
            </w:r>
          </w:p>
          <w:p w:rsidRPr="00345A85" w:rsidR="00415CBB" w:rsidP="00564DD2" w:rsidRDefault="00415CBB" w14:paraId="1A488E35" w14:textId="0AE6AA06">
            <w:pPr>
              <w:pStyle w:val="ListParagraph"/>
              <w:numPr>
                <w:ilvl w:val="0"/>
                <w:numId w:val="3"/>
              </w:numPr>
              <w:spacing w:after="120"/>
              <w:jc w:val="both"/>
              <w:rPr>
                <w:rFonts w:asciiTheme="minorHAnsi" w:hAnsiTheme="minorHAnsi"/>
                <w:b w:val="0"/>
                <w:bCs w:val="0"/>
                <w:szCs w:val="24"/>
              </w:rPr>
            </w:pPr>
            <w:r w:rsidRPr="00345A85">
              <w:rPr>
                <w:rFonts w:asciiTheme="minorHAnsi" w:hAnsiTheme="minorHAnsi"/>
                <w:b w:val="0"/>
                <w:bCs w:val="0"/>
                <w:szCs w:val="24"/>
              </w:rPr>
              <w:lastRenderedPageBreak/>
              <w:t>To engage with policy makers and training bodies to consider how policy might support these changes</w:t>
            </w:r>
          </w:p>
          <w:p w:rsidRPr="00345A85" w:rsidR="00415CBB" w:rsidP="00415CBB" w:rsidRDefault="00415CBB" w14:paraId="4E155762" w14:textId="572734BC">
            <w:pPr>
              <w:spacing w:after="120"/>
              <w:jc w:val="both"/>
              <w:rPr>
                <w:rFonts w:asciiTheme="minorHAnsi" w:hAnsiTheme="minorHAnsi"/>
                <w:b w:val="0"/>
                <w:bCs w:val="0"/>
                <w:szCs w:val="24"/>
              </w:rPr>
            </w:pPr>
            <w:r w:rsidRPr="00345A85">
              <w:rPr>
                <w:rFonts w:asciiTheme="minorHAnsi" w:hAnsiTheme="minorHAnsi"/>
                <w:b w:val="0"/>
                <w:bCs w:val="0"/>
                <w:szCs w:val="24"/>
              </w:rPr>
              <w:t>Methods:</w:t>
            </w:r>
          </w:p>
          <w:p w:rsidRPr="00345A85" w:rsidR="00415CBB" w:rsidP="00415CBB" w:rsidRDefault="00415CBB" w14:paraId="161F04AA" w14:textId="2706E733">
            <w:pPr>
              <w:spacing w:after="120"/>
              <w:jc w:val="both"/>
              <w:rPr>
                <w:rFonts w:asciiTheme="minorHAnsi" w:hAnsiTheme="minorHAnsi"/>
                <w:b w:val="0"/>
                <w:bCs w:val="0"/>
                <w:szCs w:val="24"/>
              </w:rPr>
            </w:pPr>
            <w:r w:rsidRPr="00345A85">
              <w:rPr>
                <w:rFonts w:asciiTheme="minorHAnsi" w:hAnsiTheme="minorHAnsi"/>
                <w:b w:val="0"/>
                <w:bCs w:val="0"/>
                <w:szCs w:val="24"/>
              </w:rPr>
              <w:t xml:space="preserve">The project will use a range of qualitative and survey methods. The successful student will be supported by the supervisory team to develop the project and choose a specific focus depending upon their own interests. The student will have the opportunity to engage with our existing </w:t>
            </w:r>
            <w:r w:rsidRPr="00345A85" w:rsidR="00345A85">
              <w:rPr>
                <w:rFonts w:asciiTheme="minorHAnsi" w:hAnsiTheme="minorHAnsi"/>
                <w:b w:val="0"/>
                <w:bCs w:val="0"/>
                <w:szCs w:val="24"/>
              </w:rPr>
              <w:t>networks</w:t>
            </w:r>
            <w:r w:rsidRPr="00345A85">
              <w:rPr>
                <w:rFonts w:asciiTheme="minorHAnsi" w:hAnsiTheme="minorHAnsi"/>
                <w:b w:val="0"/>
                <w:bCs w:val="0"/>
                <w:szCs w:val="24"/>
              </w:rPr>
              <w:t xml:space="preserve"> including </w:t>
            </w:r>
            <w:r w:rsidRPr="00345A85" w:rsidR="00345A85">
              <w:rPr>
                <w:rFonts w:asciiTheme="minorHAnsi" w:hAnsiTheme="minorHAnsi"/>
                <w:b w:val="0"/>
                <w:bCs w:val="0"/>
                <w:szCs w:val="24"/>
              </w:rPr>
              <w:t xml:space="preserve">DHSC policy makers, Health Education </w:t>
            </w:r>
            <w:proofErr w:type="gramStart"/>
            <w:r w:rsidRPr="00345A85" w:rsidR="00345A85">
              <w:rPr>
                <w:rFonts w:asciiTheme="minorHAnsi" w:hAnsiTheme="minorHAnsi"/>
                <w:b w:val="0"/>
                <w:bCs w:val="0"/>
                <w:szCs w:val="24"/>
              </w:rPr>
              <w:t>England</w:t>
            </w:r>
            <w:proofErr w:type="gramEnd"/>
            <w:r w:rsidRPr="00345A85" w:rsidR="00345A85">
              <w:rPr>
                <w:rFonts w:asciiTheme="minorHAnsi" w:hAnsiTheme="minorHAnsi"/>
                <w:b w:val="0"/>
                <w:bCs w:val="0"/>
                <w:szCs w:val="24"/>
              </w:rPr>
              <w:t xml:space="preserve"> and the Royal College of GPs in designing the project and in developing recommendations based upon the findings. The student will be encouraged to convene a stakeholder group to support the project, including GPs, members of the public and representatives from wider groups.  </w:t>
            </w:r>
          </w:p>
          <w:p w:rsidRPr="00345A85" w:rsidR="00715056" w:rsidP="00140508" w:rsidRDefault="00715056" w14:paraId="67BDD03B" w14:textId="77777777">
            <w:pPr>
              <w:spacing w:after="120"/>
              <w:jc w:val="both"/>
              <w:rPr>
                <w:rFonts w:asciiTheme="minorHAnsi" w:hAnsiTheme="minorHAnsi"/>
                <w:b w:val="0"/>
                <w:bCs w:val="0"/>
                <w:szCs w:val="24"/>
              </w:rPr>
            </w:pPr>
            <w:r w:rsidRPr="00345A85">
              <w:rPr>
                <w:rFonts w:asciiTheme="minorHAnsi" w:hAnsiTheme="minorHAnsi"/>
                <w:b w:val="0"/>
                <w:bCs w:val="0"/>
                <w:szCs w:val="24"/>
              </w:rPr>
              <w:t>Outcomes</w:t>
            </w:r>
          </w:p>
          <w:p w:rsidRPr="00345A85" w:rsidR="00E0356E" w:rsidP="00140508" w:rsidRDefault="00715056" w14:paraId="77EA51C1" w14:textId="681DADC4">
            <w:pPr>
              <w:spacing w:after="120"/>
              <w:jc w:val="both"/>
              <w:rPr>
                <w:rFonts w:asciiTheme="minorHAnsi" w:hAnsiTheme="minorHAnsi"/>
                <w:b w:val="0"/>
                <w:bCs w:val="0"/>
                <w:szCs w:val="24"/>
              </w:rPr>
            </w:pPr>
            <w:r w:rsidRPr="00345A85">
              <w:rPr>
                <w:rFonts w:asciiTheme="minorHAnsi" w:hAnsiTheme="minorHAnsi"/>
                <w:b w:val="0"/>
                <w:bCs w:val="0"/>
                <w:szCs w:val="24"/>
              </w:rPr>
              <w:t xml:space="preserve">Evidence to inform workforce strategy/health policy </w:t>
            </w:r>
            <w:r w:rsidRPr="00345A85" w:rsidR="00345A85">
              <w:rPr>
                <w:rFonts w:asciiTheme="minorHAnsi" w:hAnsiTheme="minorHAnsi"/>
                <w:b w:val="0"/>
                <w:bCs w:val="0"/>
                <w:szCs w:val="24"/>
              </w:rPr>
              <w:t>around</w:t>
            </w:r>
            <w:r w:rsidRPr="00345A85" w:rsidR="00732277">
              <w:rPr>
                <w:rFonts w:asciiTheme="minorHAnsi" w:hAnsiTheme="minorHAnsi"/>
                <w:b w:val="0"/>
                <w:bCs w:val="0"/>
                <w:szCs w:val="24"/>
              </w:rPr>
              <w:t xml:space="preserve"> measures to strengthen and stabilise the GP workforce</w:t>
            </w:r>
            <w:r w:rsidRPr="00345A85" w:rsidR="001248EB">
              <w:rPr>
                <w:rFonts w:asciiTheme="minorHAnsi" w:hAnsiTheme="minorHAnsi"/>
                <w:b w:val="0"/>
                <w:bCs w:val="0"/>
                <w:szCs w:val="24"/>
              </w:rPr>
              <w:t xml:space="preserve"> </w:t>
            </w:r>
            <w:r w:rsidRPr="00345A85" w:rsidR="004E4F0F">
              <w:rPr>
                <w:rFonts w:asciiTheme="minorHAnsi" w:hAnsiTheme="minorHAnsi"/>
                <w:b w:val="0"/>
                <w:bCs w:val="0"/>
                <w:szCs w:val="24"/>
              </w:rPr>
              <w:t xml:space="preserve"> </w:t>
            </w:r>
          </w:p>
          <w:p w:rsidRPr="00345A85" w:rsidR="00274ACB" w:rsidP="00140508" w:rsidRDefault="00274ACB" w14:paraId="3D3F83BF" w14:textId="77777777">
            <w:pPr>
              <w:spacing w:after="120"/>
              <w:jc w:val="both"/>
              <w:rPr>
                <w:rFonts w:asciiTheme="minorHAnsi" w:hAnsiTheme="minorHAnsi"/>
                <w:b w:val="0"/>
                <w:bCs w:val="0"/>
                <w:szCs w:val="24"/>
              </w:rPr>
            </w:pPr>
          </w:p>
        </w:tc>
      </w:tr>
    </w:tbl>
    <w:p w:rsidR="00FF6AEA" w:rsidRDefault="00FF6AEA" w14:paraId="12CD85B7" w14:textId="77777777"/>
    <w:tbl>
      <w:tblPr>
        <w:tblStyle w:val="GridTable1Light-Accent11"/>
        <w:tblW w:w="0" w:type="auto"/>
        <w:tblLook w:val="04A0" w:firstRow="1" w:lastRow="0" w:firstColumn="1" w:lastColumn="0" w:noHBand="0" w:noVBand="1"/>
      </w:tblPr>
      <w:tblGrid>
        <w:gridCol w:w="10343"/>
      </w:tblGrid>
      <w:tr w:rsidRPr="00323521" w:rsidR="00E0356E" w:rsidTr="002A1B47" w14:paraId="2A1AB4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718F8629" w14:textId="77777777">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02A1B47" w14:paraId="60169908" w14:textId="77777777">
        <w:tc>
          <w:tcPr>
            <w:cnfStyle w:val="001000000000" w:firstRow="0" w:lastRow="0" w:firstColumn="1" w:lastColumn="0" w:oddVBand="0" w:evenVBand="0" w:oddHBand="0" w:evenHBand="0" w:firstRowFirstColumn="0" w:firstRowLastColumn="0" w:lastRowFirstColumn="0" w:lastRowLastColumn="0"/>
            <w:tcW w:w="10343" w:type="dxa"/>
          </w:tcPr>
          <w:p w:rsidR="00274ACB" w:rsidP="00274ACB" w:rsidRDefault="002B0282" w14:paraId="5D7B2D5E" w14:textId="77777777">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Formal training:</w:t>
            </w:r>
          </w:p>
          <w:p w:rsidRPr="00323521" w:rsidR="00E0356E" w:rsidP="00274ACB" w:rsidRDefault="002B0282" w14:paraId="598861A3" w14:textId="75D7D056">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sz w:val="24"/>
                <w:szCs w:val="24"/>
              </w:rPr>
              <w:t xml:space="preserve"> </w:t>
            </w:r>
            <w:r w:rsidR="007258DC">
              <w:rPr>
                <w:rFonts w:cs="Arial" w:asciiTheme="minorHAnsi" w:hAnsiTheme="minorHAnsi"/>
                <w:sz w:val="24"/>
                <w:szCs w:val="24"/>
              </w:rPr>
              <w:t xml:space="preserve">The student will receive formal training on relevant methods depending on existing experience and qualifications. This might for example, include qualitative methods training, or survey methods. In </w:t>
            </w:r>
            <w:proofErr w:type="gramStart"/>
            <w:r w:rsidR="007258DC">
              <w:rPr>
                <w:rFonts w:cs="Arial" w:asciiTheme="minorHAnsi" w:hAnsiTheme="minorHAnsi"/>
                <w:sz w:val="24"/>
                <w:szCs w:val="24"/>
              </w:rPr>
              <w:t>addition</w:t>
            </w:r>
            <w:proofErr w:type="gramEnd"/>
            <w:r w:rsidR="007258DC">
              <w:rPr>
                <w:rFonts w:cs="Arial" w:asciiTheme="minorHAnsi" w:hAnsiTheme="minorHAnsi"/>
                <w:sz w:val="24"/>
                <w:szCs w:val="24"/>
              </w:rPr>
              <w:t xml:space="preserve"> the student would have access to a comprehensive training programme organised by the University Doctoral Academy, including sessions addressing such topics as: research design; presentation skills; review methods; career development etc </w:t>
            </w:r>
          </w:p>
        </w:tc>
      </w:tr>
      <w:tr w:rsidRPr="00323521" w:rsidR="00EA7C68" w:rsidTr="002A1B47" w14:paraId="68CA78A5"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5DF9BA8C" w14:textId="73607A43">
            <w:pPr>
              <w:pStyle w:val="BodyText2"/>
              <w:tabs>
                <w:tab w:val="clear" w:pos="720"/>
              </w:tabs>
              <w:spacing w:after="120"/>
              <w:jc w:val="both"/>
              <w:rPr>
                <w:rFonts w:cs="Arial" w:asciiTheme="minorHAnsi" w:hAnsiTheme="minorHAnsi"/>
                <w:b/>
                <w:bCs w:val="0"/>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p>
          <w:p w:rsidRPr="00133FA8" w:rsidR="00EA7C68" w:rsidP="002B0282" w:rsidRDefault="007258DC" w14:paraId="50766340" w14:textId="3A5AAA27">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The student will have access to a wide range of training through the School for Primary Care research, as well as having access to a vibrant seminar programme within the department and the opportunity to work alongside and learn from interdisciplinary experts</w:t>
            </w:r>
          </w:p>
        </w:tc>
      </w:tr>
      <w:tr w:rsidRPr="00323521" w:rsidR="00EA7C68" w:rsidTr="002A1B47" w14:paraId="3B4978DD"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3A834F72" w14:textId="7FF5625C">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 xml:space="preserve">PPIE: </w:t>
            </w:r>
            <w:r w:rsidR="007258DC">
              <w:rPr>
                <w:rFonts w:cs="Arial" w:asciiTheme="minorHAnsi" w:hAnsiTheme="minorHAnsi"/>
                <w:i/>
                <w:sz w:val="24"/>
                <w:szCs w:val="24"/>
              </w:rPr>
              <w:t xml:space="preserve">The student will work with </w:t>
            </w:r>
            <w:proofErr w:type="gramStart"/>
            <w:r w:rsidR="007258DC">
              <w:rPr>
                <w:rFonts w:cs="Arial" w:asciiTheme="minorHAnsi" w:hAnsiTheme="minorHAnsi"/>
                <w:i/>
                <w:sz w:val="24"/>
                <w:szCs w:val="24"/>
              </w:rPr>
              <w:t>our</w:t>
            </w:r>
            <w:proofErr w:type="gramEnd"/>
            <w:r w:rsidR="007258DC">
              <w:rPr>
                <w:rFonts w:cs="Arial" w:asciiTheme="minorHAnsi" w:hAnsiTheme="minorHAnsi"/>
                <w:i/>
                <w:sz w:val="24"/>
                <w:szCs w:val="24"/>
              </w:rPr>
              <w:t xml:space="preserve"> in house PPIE group, PRIMER to develop the project and ensure strong engagement with the public. </w:t>
            </w:r>
          </w:p>
          <w:p w:rsidRPr="00323521" w:rsidR="00EA7C68" w:rsidP="002B0282" w:rsidRDefault="00EA7C68" w14:paraId="5A8BABC5" w14:textId="77777777">
            <w:pPr>
              <w:pStyle w:val="BodyText2"/>
              <w:tabs>
                <w:tab w:val="clear" w:pos="720"/>
              </w:tabs>
              <w:spacing w:after="120"/>
              <w:jc w:val="both"/>
              <w:rPr>
                <w:rFonts w:cs="Arial" w:asciiTheme="minorHAnsi" w:hAnsiTheme="minorHAnsi"/>
                <w:i/>
                <w:sz w:val="24"/>
                <w:szCs w:val="24"/>
              </w:rPr>
            </w:pPr>
          </w:p>
        </w:tc>
      </w:tr>
    </w:tbl>
    <w:p w:rsidRPr="00133FA8" w:rsidR="00133FA8" w:rsidP="00133FA8" w:rsidRDefault="00133FA8" w14:paraId="737BF1D1" w14:textId="77777777">
      <w:pPr>
        <w:pStyle w:val="EndNoteBibliography"/>
        <w:spacing w:after="0"/>
      </w:pPr>
      <w:r>
        <w:rPr>
          <w:rFonts w:asciiTheme="minorHAnsi" w:hAnsiTheme="minorHAnsi"/>
          <w:szCs w:val="24"/>
        </w:rPr>
        <w:fldChar w:fldCharType="begin"/>
      </w:r>
      <w:r>
        <w:rPr>
          <w:rFonts w:asciiTheme="minorHAnsi" w:hAnsiTheme="minorHAnsi"/>
          <w:szCs w:val="24"/>
        </w:rPr>
        <w:instrText xml:space="preserve"> ADDIN EN.REFLIST </w:instrText>
      </w:r>
      <w:r>
        <w:rPr>
          <w:rFonts w:asciiTheme="minorHAnsi" w:hAnsiTheme="minorHAnsi"/>
          <w:szCs w:val="24"/>
        </w:rPr>
        <w:fldChar w:fldCharType="separate"/>
      </w:r>
      <w:r w:rsidRPr="00133FA8">
        <w:t>1.</w:t>
      </w:r>
      <w:r w:rsidRPr="00133FA8">
        <w:tab/>
      </w:r>
      <w:r w:rsidRPr="00133FA8">
        <w:t>Buchan J, Charlesworth A, Gershlick B, Seccombe I. A critical moment: NHS staffing trends, retention and attrition. London: Health Foundation. 2019.</w:t>
      </w:r>
    </w:p>
    <w:p w:rsidRPr="00133FA8" w:rsidR="00133FA8" w:rsidP="00133FA8" w:rsidRDefault="00133FA8" w14:paraId="18C90419" w14:textId="77777777">
      <w:pPr>
        <w:pStyle w:val="EndNoteBibliography"/>
        <w:spacing w:after="0"/>
      </w:pPr>
      <w:r w:rsidRPr="00133FA8">
        <w:t>2.</w:t>
      </w:r>
      <w:r w:rsidRPr="00133FA8">
        <w:tab/>
      </w:r>
      <w:r w:rsidRPr="00133FA8">
        <w:t>Parisi R, Lau Y-S, Bower P, Checkland K, Rubery J, Sutton M, et al. Rates of turnover among general practitioners: a retrospective study of all English general practices between 2007 and 2019. BMJ open. 2021;11(8):e049827.</w:t>
      </w:r>
    </w:p>
    <w:p w:rsidRPr="00133FA8" w:rsidR="00133FA8" w:rsidP="00133FA8" w:rsidRDefault="00133FA8" w14:paraId="624D47E8" w14:textId="77777777">
      <w:pPr>
        <w:pStyle w:val="EndNoteBibliography"/>
      </w:pPr>
      <w:r w:rsidRPr="00133FA8">
        <w:t>3.</w:t>
      </w:r>
      <w:r w:rsidRPr="00133FA8">
        <w:tab/>
      </w:r>
      <w:r w:rsidRPr="00133FA8">
        <w:t>Sandvik H, Hetlevik Ø, Blinkenberg J, Hunskaar S. Continuity in general practice as predictor of mortality, acute hospitalisation, and use of out-of-hours care: a registry-based observational study in Norway. British Journal of General Practice. 2021:BJGP.2021.0340.</w:t>
      </w:r>
    </w:p>
    <w:p w:rsidRPr="00323521" w:rsidR="00E0356E" w:rsidRDefault="00133FA8" w14:paraId="1E5B0436" w14:textId="3DB84C20">
      <w:pPr>
        <w:rPr>
          <w:rFonts w:asciiTheme="minorHAnsi" w:hAnsiTheme="minorHAnsi"/>
          <w:szCs w:val="24"/>
        </w:rPr>
      </w:pPr>
      <w:r>
        <w:rPr>
          <w:rFonts w:asciiTheme="minorHAnsi" w:hAnsiTheme="minorHAnsi"/>
          <w:szCs w:val="24"/>
        </w:rPr>
        <w:fldChar w:fldCharType="end"/>
      </w:r>
    </w:p>
    <w:sectPr w:rsidRPr="00323521"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573E" w:rsidP="008A5DEB" w:rsidRDefault="00CD573E" w14:paraId="01AD210B" w14:textId="77777777">
      <w:pPr>
        <w:spacing w:after="0" w:line="240" w:lineRule="auto"/>
      </w:pPr>
      <w:r>
        <w:separator/>
      </w:r>
    </w:p>
  </w:endnote>
  <w:endnote w:type="continuationSeparator" w:id="0">
    <w:p w:rsidR="00CD573E" w:rsidP="008A5DEB" w:rsidRDefault="00CD573E" w14:paraId="50B4DE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5A7BA7B9" w14:textId="77777777">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573E" w:rsidP="008A5DEB" w:rsidRDefault="00CD573E" w14:paraId="24BD54F9" w14:textId="77777777">
      <w:pPr>
        <w:spacing w:after="0" w:line="240" w:lineRule="auto"/>
      </w:pPr>
      <w:r>
        <w:separator/>
      </w:r>
    </w:p>
  </w:footnote>
  <w:footnote w:type="continuationSeparator" w:id="0">
    <w:p w:rsidR="00CD573E" w:rsidP="008A5DEB" w:rsidRDefault="00CD573E" w14:paraId="393896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B0C47C8" w14:textId="77777777">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66E9A"/>
    <w:multiLevelType w:val="hybridMultilevel"/>
    <w:tmpl w:val="B0925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2"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orbe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exws9edw2w2se05wgp5ap8z2esvxzvwtvs&quot;&gt;Definitive refs feb 09 v104-Converted&lt;record-ids&gt;&lt;item&gt;5048&lt;/item&gt;&lt;item&gt;5050&lt;/item&gt;&lt;item&gt;5052&lt;/item&gt;&lt;/record-ids&gt;&lt;/item&gt;&lt;/Libraries&gt;"/>
  </w:docVars>
  <w:rsids>
    <w:rsidRoot w:val="00E0356E"/>
    <w:rsid w:val="0001427D"/>
    <w:rsid w:val="00071AEA"/>
    <w:rsid w:val="0009232A"/>
    <w:rsid w:val="000C55E7"/>
    <w:rsid w:val="000F0573"/>
    <w:rsid w:val="001248EB"/>
    <w:rsid w:val="00133FA8"/>
    <w:rsid w:val="00140508"/>
    <w:rsid w:val="001A3504"/>
    <w:rsid w:val="0022491D"/>
    <w:rsid w:val="00244693"/>
    <w:rsid w:val="00274ACB"/>
    <w:rsid w:val="002A1B47"/>
    <w:rsid w:val="002B0282"/>
    <w:rsid w:val="002F31FE"/>
    <w:rsid w:val="00323521"/>
    <w:rsid w:val="00345A85"/>
    <w:rsid w:val="003540CA"/>
    <w:rsid w:val="00362B4E"/>
    <w:rsid w:val="00415CBB"/>
    <w:rsid w:val="0047B767"/>
    <w:rsid w:val="004A7732"/>
    <w:rsid w:val="004E3BC1"/>
    <w:rsid w:val="004E4F0F"/>
    <w:rsid w:val="00515545"/>
    <w:rsid w:val="00530BFB"/>
    <w:rsid w:val="00540F80"/>
    <w:rsid w:val="00564DD2"/>
    <w:rsid w:val="00574382"/>
    <w:rsid w:val="005F1D79"/>
    <w:rsid w:val="005F3D0F"/>
    <w:rsid w:val="006319CE"/>
    <w:rsid w:val="006C2DBC"/>
    <w:rsid w:val="00714D09"/>
    <w:rsid w:val="00715056"/>
    <w:rsid w:val="007258DC"/>
    <w:rsid w:val="00732277"/>
    <w:rsid w:val="007342FE"/>
    <w:rsid w:val="00747A0E"/>
    <w:rsid w:val="00787EF3"/>
    <w:rsid w:val="007E11EC"/>
    <w:rsid w:val="008410F0"/>
    <w:rsid w:val="008A5DEB"/>
    <w:rsid w:val="008B0816"/>
    <w:rsid w:val="00956790"/>
    <w:rsid w:val="00972B24"/>
    <w:rsid w:val="009B098C"/>
    <w:rsid w:val="009E2CAF"/>
    <w:rsid w:val="009F24DA"/>
    <w:rsid w:val="00A24D22"/>
    <w:rsid w:val="00A86D73"/>
    <w:rsid w:val="00A87625"/>
    <w:rsid w:val="00AC5D34"/>
    <w:rsid w:val="00B852D4"/>
    <w:rsid w:val="00C258FF"/>
    <w:rsid w:val="00C61C47"/>
    <w:rsid w:val="00C72A6A"/>
    <w:rsid w:val="00CD573E"/>
    <w:rsid w:val="00D551C0"/>
    <w:rsid w:val="00DA58AE"/>
    <w:rsid w:val="00E0356E"/>
    <w:rsid w:val="00E85442"/>
    <w:rsid w:val="00EA7C68"/>
    <w:rsid w:val="00EC506F"/>
    <w:rsid w:val="00EC6D60"/>
    <w:rsid w:val="00EE0111"/>
    <w:rsid w:val="00F8652F"/>
    <w:rsid w:val="00FD6895"/>
    <w:rsid w:val="00FF6AEA"/>
    <w:rsid w:val="18505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B2628E"/>
  <w15:docId w15:val="{F955EE96-C271-4258-87A6-30EE79DAB1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styleId="EndNoteBibliographyTitle" w:customStyle="1">
    <w:name w:val="EndNote Bibliography Title"/>
    <w:basedOn w:val="Normal"/>
    <w:link w:val="EndNoteBibliographyTitleChar"/>
    <w:rsid w:val="00C72A6A"/>
    <w:pPr>
      <w:spacing w:after="0"/>
      <w:jc w:val="center"/>
    </w:pPr>
    <w:rPr>
      <w:noProof/>
      <w:lang w:val="en-US"/>
    </w:rPr>
  </w:style>
  <w:style w:type="character" w:styleId="EndNoteBibliographyTitleChar" w:customStyle="1">
    <w:name w:val="EndNote Bibliography Title Char"/>
    <w:basedOn w:val="DefaultParagraphFont"/>
    <w:link w:val="EndNoteBibliographyTitle"/>
    <w:rsid w:val="00C72A6A"/>
    <w:rPr>
      <w:noProof/>
      <w:lang w:val="en-US"/>
    </w:rPr>
  </w:style>
  <w:style w:type="paragraph" w:styleId="EndNoteBibliography" w:customStyle="1">
    <w:name w:val="EndNote Bibliography"/>
    <w:basedOn w:val="Normal"/>
    <w:link w:val="EndNoteBibliographyChar"/>
    <w:rsid w:val="00C72A6A"/>
    <w:pPr>
      <w:spacing w:line="240" w:lineRule="auto"/>
    </w:pPr>
    <w:rPr>
      <w:noProof/>
      <w:lang w:val="en-US"/>
    </w:rPr>
  </w:style>
  <w:style w:type="character" w:styleId="EndNoteBibliographyChar" w:customStyle="1">
    <w:name w:val="EndNote Bibliography Char"/>
    <w:basedOn w:val="DefaultParagraphFont"/>
    <w:link w:val="EndNoteBibliography"/>
    <w:rsid w:val="00C72A6A"/>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607F77"/>
    <w:rsid w:val="009B098C"/>
    <w:rsid w:val="00CF0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51944-9F80-4067-86CC-D22861C5C98B}">
  <ds:schemaRefs>
    <ds:schemaRef ds:uri="http://schemas.openxmlformats.org/officeDocument/2006/bibliography"/>
  </ds:schemaRefs>
</ds:datastoreItem>
</file>

<file path=customXml/itemProps2.xml><?xml version="1.0" encoding="utf-8"?>
<ds:datastoreItem xmlns:ds="http://schemas.openxmlformats.org/officeDocument/2006/customXml" ds:itemID="{97E6EA42-355A-4B62-BF56-0DD1BCE02A87}"/>
</file>

<file path=customXml/itemProps3.xml><?xml version="1.0" encoding="utf-8"?>
<ds:datastoreItem xmlns:ds="http://schemas.openxmlformats.org/officeDocument/2006/customXml" ds:itemID="{2C4F9C2A-BD9C-47CA-8589-D493D274E527}"/>
</file>

<file path=customXml/itemProps4.xml><?xml version="1.0" encoding="utf-8"?>
<ds:datastoreItem xmlns:ds="http://schemas.openxmlformats.org/officeDocument/2006/customXml" ds:itemID="{C5E46412-B979-4C0B-B638-D56F66878A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4</revision>
  <dcterms:created xsi:type="dcterms:W3CDTF">2022-01-12T11:03:00.0000000Z</dcterms:created>
  <dcterms:modified xsi:type="dcterms:W3CDTF">2022-01-13T12:26:23.2702981Z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