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456"/>
      </w:tblGrid>
      <w:tr w:rsidRPr="00323521" w:rsidR="00FF6AEA" w:rsidTr="5BD5A03F"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P="0027361D" w:rsidRDefault="00FF6AEA" w14:paraId="3D6AB031" w14:textId="3F6A03A8">
            <w:pPr>
              <w:rPr>
                <w:rFonts w:ascii="Calibri" w:hAnsi="Calibri" w:asciiTheme="minorAscii" w:hAnsiTheme="minorAscii"/>
                <w:color w:val="2E74B5" w:themeColor="accent1" w:themeShade="BF"/>
                <w:sz w:val="28"/>
                <w:szCs w:val="28"/>
              </w:rPr>
            </w:pPr>
            <w:r w:rsidRPr="0027361D" w:rsidR="00FF6AEA">
              <w:rPr>
                <w:rFonts w:ascii="Calibri" w:hAnsi="Calibri" w:asciiTheme="minorAscii" w:hAnsiTheme="minorAscii"/>
                <w:color w:val="2E74B5" w:themeColor="accent1" w:themeShade="BF"/>
                <w:sz w:val="28"/>
                <w:szCs w:val="28"/>
              </w:rPr>
              <w:t>Host department:</w:t>
            </w:r>
            <w:sdt>
              <w:sdtPr>
                <w:id w:val="276916200"/>
                <w:placeholder>
                  <w:docPart w:val="A8FA2247D3034A4B95677780CBA96BF9"/>
                </w:placeholder>
                <w:showingPlcHd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rPr>
                  <w:rFonts w:ascii="Calibri" w:hAnsi="Calibri" w:asciiTheme="minorAscii" w:hAnsiTheme="minorAscii"/>
                  <w:color w:val="2E74B5" w:themeColor="accent1" w:themeShade="BF"/>
                  <w:sz w:val="28"/>
                  <w:szCs w:val="28"/>
                </w:rPr>
              </w:sdtPr>
              <w:sdtEndPr>
                <w:rPr>
                  <w:rFonts w:ascii="Calibri" w:hAnsi="Calibri" w:asciiTheme="minorAscii" w:hAnsiTheme="minorAscii"/>
                  <w:color w:val="2E74B5" w:themeColor="accent1" w:themeTint="FF" w:themeShade="BF"/>
                  <w:sz w:val="28"/>
                  <w:szCs w:val="28"/>
                </w:rPr>
              </w:sdtEndPr>
              <w:sdtContent>
                <w:r w:rsidRPr="00786A14" w:rsidR="002F31FE">
                  <w:rPr>
                    <w:rStyle w:val="PlaceholderText"/>
                  </w:rPr>
                  <w:t>Choose an item.</w:t>
                </w:r>
              </w:sdtContent>
            </w:sdt>
            <w:r w:rsidRPr="0027361D" w:rsidR="699E15B4">
              <w:rPr>
                <w:rFonts w:ascii="Calibri" w:hAnsi="Calibri" w:asciiTheme="minorAscii" w:hAnsiTheme="minorAscii"/>
                <w:color w:val="2E74B5" w:themeColor="accent1" w:themeTint="FF" w:themeShade="BF"/>
                <w:sz w:val="28"/>
                <w:szCs w:val="28"/>
              </w:rPr>
              <w:t>Keele</w:t>
            </w:r>
          </w:p>
        </w:tc>
      </w:tr>
      <w:tr w:rsidRPr="00323521" w:rsidR="008A5DEB" w:rsidTr="5BD5A03F"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5BD5A03F"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8A5DEB" w:rsidP="008A5DEB" w:rsidRDefault="00F471E5" w14:paraId="69A170DE" w14:textId="62A7A870">
            <w:pPr>
              <w:spacing w:after="120"/>
              <w:rPr>
                <w:rFonts w:asciiTheme="minorHAnsi" w:hAnsiTheme="minorHAnsi"/>
                <w:szCs w:val="24"/>
              </w:rPr>
            </w:pPr>
            <w:r w:rsidRPr="0004767B">
              <w:rPr>
                <w:rFonts w:ascii="Arial" w:hAnsi="Arial"/>
                <w:sz w:val="22"/>
                <w:szCs w:val="22"/>
              </w:rPr>
              <w:t xml:space="preserve">Does individual level or household data on social determinants of health perform better than neighbourhood level data </w:t>
            </w:r>
            <w:r>
              <w:rPr>
                <w:rFonts w:ascii="Arial" w:hAnsi="Arial"/>
                <w:sz w:val="22"/>
                <w:szCs w:val="22"/>
              </w:rPr>
              <w:t>when looking at health outcomes</w:t>
            </w:r>
            <w:r w:rsidRPr="0004767B">
              <w:rPr>
                <w:rFonts w:ascii="Arial" w:hAnsi="Arial"/>
                <w:sz w:val="22"/>
                <w:szCs w:val="22"/>
              </w:rPr>
              <w:t>?</w:t>
            </w:r>
          </w:p>
          <w:p w:rsidRPr="00323521" w:rsidR="00274ACB" w:rsidP="008A5DEB" w:rsidRDefault="00274ACB" w14:paraId="7173F29A" w14:textId="77777777">
            <w:pPr>
              <w:spacing w:after="120"/>
              <w:rPr>
                <w:rFonts w:asciiTheme="minorHAnsi" w:hAnsiTheme="minorHAnsi"/>
                <w:szCs w:val="24"/>
              </w:rPr>
            </w:pPr>
          </w:p>
        </w:tc>
      </w:tr>
      <w:tr w:rsidRPr="00323521" w:rsidR="00E0356E" w:rsidTr="5BD5A03F"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5BD5A03F"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274ACB" w:rsidRDefault="00F471E5" w14:paraId="77EA8CE6" w14:textId="1EF98CCC">
            <w:pPr>
              <w:pStyle w:val="ListParagraph"/>
              <w:ind w:left="360"/>
              <w:rPr>
                <w:rFonts w:asciiTheme="minorHAnsi" w:hAnsiTheme="minorHAnsi"/>
                <w:bCs w:val="0"/>
                <w:szCs w:val="24"/>
              </w:rPr>
            </w:pPr>
            <w:r>
              <w:rPr>
                <w:rFonts w:asciiTheme="minorHAnsi" w:hAnsiTheme="minorHAnsi"/>
                <w:b w:val="0"/>
                <w:szCs w:val="24"/>
              </w:rPr>
              <w:t>Dr Emma Parry, Lead Supervisor. NIHR Academic Clinical Lecturer in Primary Care</w:t>
            </w:r>
            <w:r w:rsidR="00F25330">
              <w:rPr>
                <w:rFonts w:asciiTheme="minorHAnsi" w:hAnsiTheme="minorHAnsi"/>
                <w:b w:val="0"/>
                <w:szCs w:val="24"/>
              </w:rPr>
              <w:t xml:space="preserve">, </w:t>
            </w:r>
            <w:proofErr w:type="spellStart"/>
            <w:r w:rsidR="00F25330">
              <w:rPr>
                <w:rFonts w:asciiTheme="minorHAnsi" w:hAnsiTheme="minorHAnsi"/>
                <w:b w:val="0"/>
                <w:szCs w:val="24"/>
              </w:rPr>
              <w:t>Keele</w:t>
            </w:r>
            <w:proofErr w:type="spellEnd"/>
            <w:r w:rsidR="00F25330">
              <w:rPr>
                <w:rFonts w:asciiTheme="minorHAnsi" w:hAnsiTheme="minorHAnsi"/>
                <w:b w:val="0"/>
                <w:szCs w:val="24"/>
              </w:rPr>
              <w:t xml:space="preserve"> School of Medicine</w:t>
            </w:r>
            <w:r w:rsidR="00F25330">
              <w:rPr>
                <w:rFonts w:asciiTheme="minorHAnsi" w:hAnsiTheme="minorHAnsi"/>
                <w:b w:val="0"/>
                <w:szCs w:val="24"/>
              </w:rPr>
              <w:t xml:space="preserve"> and Lead for Royal Wolverhampton NHS Trust Academic Primary Care Unit</w:t>
            </w:r>
            <w:r>
              <w:rPr>
                <w:rFonts w:asciiTheme="minorHAnsi" w:hAnsiTheme="minorHAnsi"/>
                <w:b w:val="0"/>
                <w:szCs w:val="24"/>
              </w:rPr>
              <w:t xml:space="preserve">. </w:t>
            </w:r>
            <w:r w:rsidR="00F25330">
              <w:rPr>
                <w:rFonts w:asciiTheme="minorHAnsi" w:hAnsiTheme="minorHAnsi"/>
                <w:b w:val="0"/>
                <w:szCs w:val="24"/>
              </w:rPr>
              <w:t xml:space="preserve">Academic GP with experience in systematic review, quantitative data analysis and interest in health inequalities. </w:t>
            </w:r>
            <w:r>
              <w:rPr>
                <w:rFonts w:asciiTheme="minorHAnsi" w:hAnsiTheme="minorHAnsi"/>
                <w:b w:val="0"/>
                <w:szCs w:val="24"/>
              </w:rPr>
              <w:t xml:space="preserve">Will provide supervision on all aspects of the project and provide opportunity for links with Health Inequalities group at RCGP, NHSE, Health Foundation and local CCGs to ensure results from this PhD impact on national and local policy. </w:t>
            </w:r>
          </w:p>
          <w:p w:rsidR="00F471E5" w:rsidP="00274ACB" w:rsidRDefault="00F471E5" w14:paraId="3973DFFD" w14:textId="2D64CC4C">
            <w:pPr>
              <w:pStyle w:val="ListParagraph"/>
              <w:ind w:left="360"/>
              <w:rPr>
                <w:rFonts w:asciiTheme="minorHAnsi" w:hAnsiTheme="minorHAnsi"/>
                <w:bCs w:val="0"/>
                <w:szCs w:val="24"/>
              </w:rPr>
            </w:pPr>
          </w:p>
          <w:p w:rsidR="00F471E5" w:rsidP="00274ACB" w:rsidRDefault="00F471E5" w14:paraId="0EFE3BDB" w14:textId="1E52F67A">
            <w:pPr>
              <w:pStyle w:val="ListParagraph"/>
              <w:ind w:left="360"/>
              <w:rPr>
                <w:rFonts w:asciiTheme="minorHAnsi" w:hAnsiTheme="minorHAnsi"/>
                <w:bCs w:val="0"/>
                <w:szCs w:val="24"/>
              </w:rPr>
            </w:pPr>
            <w:r>
              <w:rPr>
                <w:rFonts w:asciiTheme="minorHAnsi" w:hAnsiTheme="minorHAnsi"/>
                <w:b w:val="0"/>
                <w:szCs w:val="24"/>
              </w:rPr>
              <w:t xml:space="preserve">Dr Ross </w:t>
            </w:r>
            <w:proofErr w:type="spellStart"/>
            <w:r>
              <w:rPr>
                <w:rFonts w:asciiTheme="minorHAnsi" w:hAnsiTheme="minorHAnsi"/>
                <w:b w:val="0"/>
                <w:szCs w:val="24"/>
              </w:rPr>
              <w:t>Wilkie</w:t>
            </w:r>
            <w:proofErr w:type="spellEnd"/>
            <w:r>
              <w:rPr>
                <w:rFonts w:asciiTheme="minorHAnsi" w:hAnsiTheme="minorHAnsi"/>
                <w:b w:val="0"/>
                <w:szCs w:val="24"/>
              </w:rPr>
              <w:t>, Senior Lecturer in Public Health and Epidemiology</w:t>
            </w:r>
            <w:r w:rsidR="00B1182D">
              <w:rPr>
                <w:rFonts w:asciiTheme="minorHAnsi" w:hAnsiTheme="minorHAnsi"/>
                <w:b w:val="0"/>
                <w:szCs w:val="24"/>
              </w:rPr>
              <w:t xml:space="preserve">, </w:t>
            </w:r>
            <w:proofErr w:type="spellStart"/>
            <w:r w:rsidR="00B1182D">
              <w:rPr>
                <w:rFonts w:asciiTheme="minorHAnsi" w:hAnsiTheme="minorHAnsi"/>
                <w:b w:val="0"/>
                <w:szCs w:val="24"/>
              </w:rPr>
              <w:t>Keele</w:t>
            </w:r>
            <w:proofErr w:type="spellEnd"/>
            <w:r w:rsidR="00B1182D">
              <w:rPr>
                <w:rFonts w:asciiTheme="minorHAnsi" w:hAnsiTheme="minorHAnsi"/>
                <w:b w:val="0"/>
                <w:szCs w:val="24"/>
              </w:rPr>
              <w:t xml:space="preserve"> School of Medicine</w:t>
            </w:r>
            <w:r>
              <w:rPr>
                <w:rFonts w:asciiTheme="minorHAnsi" w:hAnsiTheme="minorHAnsi"/>
                <w:b w:val="0"/>
                <w:szCs w:val="24"/>
              </w:rPr>
              <w:t xml:space="preserve">. Will provide co-supervision and advice on systematic review, epidemiological </w:t>
            </w:r>
            <w:proofErr w:type="gramStart"/>
            <w:r>
              <w:rPr>
                <w:rFonts w:asciiTheme="minorHAnsi" w:hAnsiTheme="minorHAnsi"/>
                <w:b w:val="0"/>
                <w:szCs w:val="24"/>
              </w:rPr>
              <w:t>analysis</w:t>
            </w:r>
            <w:proofErr w:type="gramEnd"/>
            <w:r>
              <w:rPr>
                <w:rFonts w:asciiTheme="minorHAnsi" w:hAnsiTheme="minorHAnsi"/>
                <w:b w:val="0"/>
                <w:szCs w:val="24"/>
              </w:rPr>
              <w:t xml:space="preserve"> and public health expertise.</w:t>
            </w:r>
          </w:p>
          <w:p w:rsidR="00F471E5" w:rsidP="00274ACB" w:rsidRDefault="00F471E5" w14:paraId="2C24AF18" w14:textId="165DF8D3">
            <w:pPr>
              <w:pStyle w:val="ListParagraph"/>
              <w:ind w:left="360"/>
              <w:rPr>
                <w:rFonts w:asciiTheme="minorHAnsi" w:hAnsiTheme="minorHAnsi"/>
                <w:bCs w:val="0"/>
                <w:szCs w:val="24"/>
              </w:rPr>
            </w:pPr>
          </w:p>
          <w:p w:rsidR="00F471E5" w:rsidP="00274ACB" w:rsidRDefault="00F471E5" w14:paraId="2E1F669C" w14:textId="24E243B6">
            <w:pPr>
              <w:pStyle w:val="ListParagraph"/>
              <w:ind w:left="360"/>
              <w:rPr>
                <w:rFonts w:asciiTheme="minorHAnsi" w:hAnsiTheme="minorHAnsi"/>
                <w:bCs w:val="0"/>
                <w:szCs w:val="24"/>
              </w:rPr>
            </w:pPr>
            <w:r>
              <w:rPr>
                <w:rFonts w:asciiTheme="minorHAnsi" w:hAnsiTheme="minorHAnsi"/>
                <w:b w:val="0"/>
                <w:szCs w:val="24"/>
              </w:rPr>
              <w:t xml:space="preserve">Dr </w:t>
            </w:r>
            <w:proofErr w:type="spellStart"/>
            <w:r>
              <w:rPr>
                <w:rFonts w:asciiTheme="minorHAnsi" w:hAnsiTheme="minorHAnsi"/>
                <w:b w:val="0"/>
                <w:szCs w:val="24"/>
              </w:rPr>
              <w:t>Dahai</w:t>
            </w:r>
            <w:proofErr w:type="spellEnd"/>
            <w:r>
              <w:rPr>
                <w:rFonts w:asciiTheme="minorHAnsi" w:hAnsiTheme="minorHAnsi"/>
                <w:b w:val="0"/>
                <w:szCs w:val="24"/>
              </w:rPr>
              <w:t xml:space="preserve"> Yu, Senior Research Fellow</w:t>
            </w:r>
            <w:r w:rsidR="00B1182D">
              <w:rPr>
                <w:rFonts w:asciiTheme="minorHAnsi" w:hAnsiTheme="minorHAnsi"/>
                <w:b w:val="0"/>
                <w:szCs w:val="24"/>
              </w:rPr>
              <w:t xml:space="preserve">, </w:t>
            </w:r>
            <w:proofErr w:type="spellStart"/>
            <w:r w:rsidR="00B1182D">
              <w:rPr>
                <w:rFonts w:asciiTheme="minorHAnsi" w:hAnsiTheme="minorHAnsi"/>
                <w:b w:val="0"/>
                <w:szCs w:val="24"/>
              </w:rPr>
              <w:t>Keele</w:t>
            </w:r>
            <w:proofErr w:type="spellEnd"/>
            <w:r w:rsidR="00B1182D">
              <w:rPr>
                <w:rFonts w:asciiTheme="minorHAnsi" w:hAnsiTheme="minorHAnsi"/>
                <w:b w:val="0"/>
                <w:szCs w:val="24"/>
              </w:rPr>
              <w:t xml:space="preserve"> School of Medicine</w:t>
            </w:r>
            <w:r>
              <w:rPr>
                <w:rFonts w:asciiTheme="minorHAnsi" w:hAnsiTheme="minorHAnsi"/>
                <w:b w:val="0"/>
                <w:szCs w:val="24"/>
              </w:rPr>
              <w:t>. Will provide expertise on epidemiological analysis including multilevel models.</w:t>
            </w:r>
          </w:p>
          <w:p w:rsidR="00F471E5" w:rsidP="00274ACB" w:rsidRDefault="00F471E5" w14:paraId="04019CB3" w14:textId="4CE53E0B">
            <w:pPr>
              <w:pStyle w:val="ListParagraph"/>
              <w:ind w:left="360"/>
              <w:rPr>
                <w:rFonts w:asciiTheme="minorHAnsi" w:hAnsiTheme="minorHAnsi"/>
                <w:bCs w:val="0"/>
                <w:szCs w:val="24"/>
              </w:rPr>
            </w:pPr>
          </w:p>
          <w:p w:rsidR="00B1182D" w:rsidP="00B1182D" w:rsidRDefault="00B1182D" w14:paraId="5216EFC9" w14:textId="77777777">
            <w:pPr>
              <w:pStyle w:val="BodyText2"/>
              <w:rPr>
                <w:rFonts w:eastAsia="SimSun" w:asciiTheme="minorHAnsi" w:hAnsiTheme="minorHAnsi" w:cstheme="minorHAnsi"/>
                <w:b/>
                <w:iCs/>
                <w:sz w:val="24"/>
                <w:szCs w:val="24"/>
                <w:lang w:val="fr-FR"/>
              </w:rPr>
            </w:pPr>
            <w:r>
              <w:rPr>
                <w:rFonts w:asciiTheme="minorHAnsi" w:hAnsiTheme="minorHAnsi" w:cstheme="minorHAnsi"/>
                <w:bCs w:val="0"/>
                <w:sz w:val="24"/>
                <w:szCs w:val="24"/>
              </w:rPr>
              <w:t xml:space="preserve">      </w:t>
            </w:r>
            <w:r w:rsidRPr="00B1182D" w:rsidR="00F471E5">
              <w:rPr>
                <w:rFonts w:asciiTheme="minorHAnsi" w:hAnsiTheme="minorHAnsi" w:cstheme="minorHAnsi"/>
                <w:bCs w:val="0"/>
                <w:sz w:val="24"/>
                <w:szCs w:val="24"/>
              </w:rPr>
              <w:t xml:space="preserve">Professor </w:t>
            </w:r>
            <w:proofErr w:type="spellStart"/>
            <w:r w:rsidRPr="00B1182D" w:rsidR="00F471E5">
              <w:rPr>
                <w:rFonts w:asciiTheme="minorHAnsi" w:hAnsiTheme="minorHAnsi" w:cstheme="minorHAnsi"/>
                <w:bCs w:val="0"/>
                <w:sz w:val="24"/>
                <w:szCs w:val="24"/>
              </w:rPr>
              <w:t>Baldev</w:t>
            </w:r>
            <w:proofErr w:type="spellEnd"/>
            <w:r w:rsidRPr="00B1182D" w:rsidR="00F471E5">
              <w:rPr>
                <w:rFonts w:asciiTheme="minorHAnsi" w:hAnsiTheme="minorHAnsi" w:cstheme="minorHAnsi"/>
                <w:bCs w:val="0"/>
                <w:sz w:val="24"/>
                <w:szCs w:val="24"/>
              </w:rPr>
              <w:t xml:space="preserve"> Singh, </w:t>
            </w:r>
            <w:r w:rsidRPr="00B1182D">
              <w:rPr>
                <w:rFonts w:eastAsia="SimSun" w:asciiTheme="minorHAnsi" w:hAnsiTheme="minorHAnsi" w:cstheme="minorHAnsi"/>
                <w:bCs w:val="0"/>
                <w:iCs/>
                <w:sz w:val="24"/>
                <w:szCs w:val="24"/>
                <w:lang w:val="fr-FR"/>
              </w:rPr>
              <w:t xml:space="preserve">Consultant </w:t>
            </w:r>
            <w:proofErr w:type="spellStart"/>
            <w:r w:rsidRPr="00B1182D">
              <w:rPr>
                <w:rFonts w:eastAsia="SimSun" w:asciiTheme="minorHAnsi" w:hAnsiTheme="minorHAnsi" w:cstheme="minorHAnsi"/>
                <w:bCs w:val="0"/>
                <w:iCs/>
                <w:sz w:val="24"/>
                <w:szCs w:val="24"/>
                <w:lang w:val="fr-FR"/>
              </w:rPr>
              <w:t>Diabetologist</w:t>
            </w:r>
            <w:proofErr w:type="spellEnd"/>
            <w:r w:rsidRPr="00B1182D">
              <w:rPr>
                <w:rFonts w:eastAsia="SimSun" w:asciiTheme="minorHAnsi" w:hAnsiTheme="minorHAnsi" w:cstheme="minorHAnsi"/>
                <w:bCs w:val="0"/>
                <w:iCs/>
                <w:sz w:val="24"/>
                <w:szCs w:val="24"/>
                <w:lang w:val="fr-FR"/>
              </w:rPr>
              <w:t xml:space="preserve"> and </w:t>
            </w:r>
            <w:proofErr w:type="spellStart"/>
            <w:r w:rsidRPr="00B1182D">
              <w:rPr>
                <w:rFonts w:eastAsia="SimSun" w:asciiTheme="minorHAnsi" w:hAnsiTheme="minorHAnsi" w:cstheme="minorHAnsi"/>
                <w:bCs w:val="0"/>
                <w:iCs/>
                <w:sz w:val="24"/>
                <w:szCs w:val="24"/>
                <w:lang w:val="fr-FR"/>
              </w:rPr>
              <w:t>Clinical</w:t>
            </w:r>
            <w:proofErr w:type="spellEnd"/>
            <w:r w:rsidRPr="00B1182D">
              <w:rPr>
                <w:rFonts w:eastAsia="SimSun" w:asciiTheme="minorHAnsi" w:hAnsiTheme="minorHAnsi" w:cstheme="minorHAnsi"/>
                <w:bCs w:val="0"/>
                <w:iCs/>
                <w:sz w:val="24"/>
                <w:szCs w:val="24"/>
                <w:lang w:val="fr-FR"/>
              </w:rPr>
              <w:t xml:space="preserve"> Lead for IT, Royal Wolverhampton NHS </w:t>
            </w:r>
            <w:r>
              <w:rPr>
                <w:rFonts w:eastAsia="SimSun" w:asciiTheme="minorHAnsi" w:hAnsiTheme="minorHAnsi" w:cstheme="minorHAnsi"/>
                <w:bCs w:val="0"/>
                <w:iCs/>
                <w:sz w:val="24"/>
                <w:szCs w:val="24"/>
                <w:lang w:val="fr-FR"/>
              </w:rPr>
              <w:t xml:space="preserve">        </w:t>
            </w:r>
          </w:p>
          <w:p w:rsidR="00B1182D" w:rsidP="00B1182D" w:rsidRDefault="00B1182D" w14:paraId="71464D36" w14:textId="77777777">
            <w:pPr>
              <w:pStyle w:val="BodyText2"/>
              <w:rPr>
                <w:rFonts w:eastAsia="SimSun" w:asciiTheme="minorHAnsi" w:hAnsiTheme="minorHAnsi" w:cstheme="minorHAnsi"/>
                <w:b/>
                <w:iCs/>
                <w:sz w:val="24"/>
                <w:szCs w:val="24"/>
                <w:lang w:val="fr-FR"/>
              </w:rPr>
            </w:pPr>
            <w:r>
              <w:rPr>
                <w:rFonts w:eastAsia="SimSun" w:asciiTheme="minorHAnsi" w:hAnsiTheme="minorHAnsi" w:cstheme="minorHAnsi"/>
                <w:b/>
                <w:iCs/>
                <w:sz w:val="24"/>
                <w:szCs w:val="24"/>
                <w:lang w:val="fr-FR"/>
              </w:rPr>
              <w:t xml:space="preserve">      </w:t>
            </w:r>
            <w:r w:rsidRPr="00B1182D">
              <w:rPr>
                <w:rFonts w:eastAsia="SimSun" w:asciiTheme="minorHAnsi" w:hAnsiTheme="minorHAnsi" w:cstheme="minorHAnsi"/>
                <w:bCs w:val="0"/>
                <w:iCs/>
                <w:sz w:val="24"/>
                <w:szCs w:val="24"/>
                <w:lang w:val="fr-FR"/>
              </w:rPr>
              <w:t>Trust</w:t>
            </w:r>
            <w:r w:rsidRPr="00B1182D">
              <w:rPr>
                <w:rFonts w:eastAsia="SimSun" w:asciiTheme="minorHAnsi" w:hAnsiTheme="minorHAnsi" w:cstheme="minorHAnsi"/>
                <w:bCs w:val="0"/>
                <w:iCs/>
                <w:sz w:val="24"/>
                <w:szCs w:val="24"/>
                <w:lang w:val="fr-FR"/>
              </w:rPr>
              <w:t xml:space="preserve">, </w:t>
            </w:r>
            <w:proofErr w:type="spellStart"/>
            <w:r w:rsidRPr="00B1182D">
              <w:rPr>
                <w:rFonts w:eastAsia="SimSun" w:asciiTheme="minorHAnsi" w:hAnsiTheme="minorHAnsi" w:cstheme="minorHAnsi"/>
                <w:bCs w:val="0"/>
                <w:iCs/>
                <w:sz w:val="24"/>
                <w:szCs w:val="24"/>
                <w:lang w:val="fr-FR"/>
              </w:rPr>
              <w:t>Medical</w:t>
            </w:r>
            <w:proofErr w:type="spellEnd"/>
            <w:r w:rsidRPr="00B1182D">
              <w:rPr>
                <w:rFonts w:eastAsia="SimSun" w:asciiTheme="minorHAnsi" w:hAnsiTheme="minorHAnsi" w:cstheme="minorHAnsi"/>
                <w:bCs w:val="0"/>
                <w:iCs/>
                <w:sz w:val="24"/>
                <w:szCs w:val="24"/>
                <w:lang w:val="fr-FR"/>
              </w:rPr>
              <w:t xml:space="preserve"> </w:t>
            </w:r>
            <w:proofErr w:type="spellStart"/>
            <w:r w:rsidRPr="00B1182D">
              <w:rPr>
                <w:rFonts w:eastAsia="SimSun" w:asciiTheme="minorHAnsi" w:hAnsiTheme="minorHAnsi" w:cstheme="minorHAnsi"/>
                <w:bCs w:val="0"/>
                <w:iCs/>
                <w:sz w:val="24"/>
                <w:szCs w:val="24"/>
                <w:lang w:val="fr-FR"/>
              </w:rPr>
              <w:t>Director</w:t>
            </w:r>
            <w:proofErr w:type="spellEnd"/>
            <w:r w:rsidRPr="00B1182D">
              <w:rPr>
                <w:rFonts w:eastAsia="SimSun" w:asciiTheme="minorHAnsi" w:hAnsiTheme="minorHAnsi" w:cstheme="minorHAnsi"/>
                <w:bCs w:val="0"/>
                <w:iCs/>
                <w:sz w:val="24"/>
                <w:szCs w:val="24"/>
                <w:lang w:val="fr-FR"/>
              </w:rPr>
              <w:t xml:space="preserve"> for </w:t>
            </w:r>
            <w:proofErr w:type="spellStart"/>
            <w:r w:rsidRPr="00B1182D">
              <w:rPr>
                <w:rFonts w:eastAsia="SimSun" w:asciiTheme="minorHAnsi" w:hAnsiTheme="minorHAnsi" w:cstheme="minorHAnsi"/>
                <w:bCs w:val="0"/>
                <w:iCs/>
                <w:sz w:val="24"/>
                <w:szCs w:val="24"/>
                <w:lang w:val="fr-FR"/>
              </w:rPr>
              <w:t>School</w:t>
            </w:r>
            <w:proofErr w:type="spellEnd"/>
            <w:r w:rsidRPr="00B1182D">
              <w:rPr>
                <w:rFonts w:eastAsia="SimSun" w:asciiTheme="minorHAnsi" w:hAnsiTheme="minorHAnsi" w:cstheme="minorHAnsi"/>
                <w:bCs w:val="0"/>
                <w:iCs/>
                <w:sz w:val="24"/>
                <w:szCs w:val="24"/>
                <w:lang w:val="fr-FR"/>
              </w:rPr>
              <w:t xml:space="preserve"> of </w:t>
            </w:r>
            <w:proofErr w:type="spellStart"/>
            <w:r w:rsidRPr="00B1182D">
              <w:rPr>
                <w:rFonts w:eastAsia="SimSun" w:asciiTheme="minorHAnsi" w:hAnsiTheme="minorHAnsi" w:cstheme="minorHAnsi"/>
                <w:bCs w:val="0"/>
                <w:iCs/>
                <w:sz w:val="24"/>
                <w:szCs w:val="24"/>
                <w:lang w:val="fr-FR"/>
              </w:rPr>
              <w:t>Medicine</w:t>
            </w:r>
            <w:proofErr w:type="spellEnd"/>
            <w:r w:rsidRPr="00B1182D">
              <w:rPr>
                <w:rFonts w:eastAsia="SimSun" w:asciiTheme="minorHAnsi" w:hAnsiTheme="minorHAnsi" w:cstheme="minorHAnsi"/>
                <w:bCs w:val="0"/>
                <w:iCs/>
                <w:sz w:val="24"/>
                <w:szCs w:val="24"/>
                <w:lang w:val="fr-FR"/>
              </w:rPr>
              <w:t xml:space="preserve"> and </w:t>
            </w:r>
            <w:proofErr w:type="spellStart"/>
            <w:r w:rsidRPr="00B1182D">
              <w:rPr>
                <w:rFonts w:eastAsia="SimSun" w:asciiTheme="minorHAnsi" w:hAnsiTheme="minorHAnsi" w:cstheme="minorHAnsi"/>
                <w:bCs w:val="0"/>
                <w:iCs/>
                <w:sz w:val="24"/>
                <w:szCs w:val="24"/>
                <w:lang w:val="fr-FR"/>
              </w:rPr>
              <w:t>Clinical</w:t>
            </w:r>
            <w:proofErr w:type="spellEnd"/>
            <w:r w:rsidRPr="00B1182D">
              <w:rPr>
                <w:rFonts w:eastAsia="SimSun" w:asciiTheme="minorHAnsi" w:hAnsiTheme="minorHAnsi" w:cstheme="minorHAnsi"/>
                <w:bCs w:val="0"/>
                <w:iCs/>
                <w:sz w:val="24"/>
                <w:szCs w:val="24"/>
                <w:lang w:val="fr-FR"/>
              </w:rPr>
              <w:t xml:space="preserve"> Practice, Wolverhampton </w:t>
            </w:r>
            <w:proofErr w:type="spellStart"/>
            <w:r w:rsidRPr="00B1182D">
              <w:rPr>
                <w:rFonts w:eastAsia="SimSun" w:asciiTheme="minorHAnsi" w:hAnsiTheme="minorHAnsi" w:cstheme="minorHAnsi"/>
                <w:bCs w:val="0"/>
                <w:iCs/>
                <w:sz w:val="24"/>
                <w:szCs w:val="24"/>
                <w:lang w:val="fr-FR"/>
              </w:rPr>
              <w:t>University</w:t>
            </w:r>
            <w:proofErr w:type="spellEnd"/>
            <w:r>
              <w:rPr>
                <w:rFonts w:eastAsia="SimSun" w:asciiTheme="minorHAnsi" w:hAnsiTheme="minorHAnsi" w:cstheme="minorHAnsi"/>
                <w:bCs w:val="0"/>
                <w:iCs/>
                <w:sz w:val="24"/>
                <w:szCs w:val="24"/>
                <w:lang w:val="fr-FR"/>
              </w:rPr>
              <w:t xml:space="preserve">. Will       </w:t>
            </w:r>
          </w:p>
          <w:p w:rsidRPr="00B1182D" w:rsidR="00F471E5" w:rsidP="00B1182D" w:rsidRDefault="00B1182D" w14:paraId="1189FC9F" w14:textId="4555B94C">
            <w:pPr>
              <w:pStyle w:val="BodyText2"/>
              <w:rPr>
                <w:rFonts w:asciiTheme="minorHAnsi" w:hAnsiTheme="minorHAnsi" w:cstheme="minorHAnsi"/>
                <w:bCs w:val="0"/>
                <w:sz w:val="24"/>
                <w:szCs w:val="24"/>
              </w:rPr>
            </w:pPr>
            <w:r>
              <w:rPr>
                <w:rFonts w:eastAsia="SimSun" w:asciiTheme="minorHAnsi" w:hAnsiTheme="minorHAnsi" w:cstheme="minorHAnsi"/>
                <w:b/>
                <w:iCs/>
                <w:sz w:val="24"/>
                <w:szCs w:val="24"/>
                <w:lang w:val="fr-FR"/>
              </w:rPr>
              <w:t xml:space="preserve">      </w:t>
            </w:r>
            <w:proofErr w:type="spellStart"/>
            <w:proofErr w:type="gramStart"/>
            <w:r>
              <w:rPr>
                <w:rFonts w:eastAsia="SimSun" w:asciiTheme="minorHAnsi" w:hAnsiTheme="minorHAnsi" w:cstheme="minorHAnsi"/>
                <w:bCs w:val="0"/>
                <w:iCs/>
                <w:sz w:val="24"/>
                <w:szCs w:val="24"/>
                <w:lang w:val="fr-FR"/>
              </w:rPr>
              <w:t>provide</w:t>
            </w:r>
            <w:proofErr w:type="spellEnd"/>
            <w:proofErr w:type="gramEnd"/>
            <w:r>
              <w:rPr>
                <w:rFonts w:eastAsia="SimSun" w:asciiTheme="minorHAnsi" w:hAnsiTheme="minorHAnsi" w:cstheme="minorHAnsi"/>
                <w:bCs w:val="0"/>
                <w:iCs/>
                <w:sz w:val="24"/>
                <w:szCs w:val="24"/>
                <w:lang w:val="fr-FR"/>
              </w:rPr>
              <w:t xml:space="preserve"> </w:t>
            </w:r>
            <w:proofErr w:type="spellStart"/>
            <w:r>
              <w:rPr>
                <w:rFonts w:eastAsia="SimSun" w:asciiTheme="minorHAnsi" w:hAnsiTheme="minorHAnsi" w:cstheme="minorHAnsi"/>
                <w:bCs w:val="0"/>
                <w:iCs/>
                <w:sz w:val="24"/>
                <w:szCs w:val="24"/>
                <w:lang w:val="fr-FR"/>
              </w:rPr>
              <w:t>co</w:t>
            </w:r>
            <w:proofErr w:type="spellEnd"/>
            <w:r>
              <w:rPr>
                <w:rFonts w:eastAsia="SimSun" w:asciiTheme="minorHAnsi" w:hAnsiTheme="minorHAnsi" w:cstheme="minorHAnsi"/>
                <w:bCs w:val="0"/>
                <w:iCs/>
                <w:sz w:val="24"/>
                <w:szCs w:val="24"/>
                <w:lang w:val="fr-FR"/>
              </w:rPr>
              <w:t xml:space="preserve">-supervision and </w:t>
            </w:r>
            <w:proofErr w:type="spellStart"/>
            <w:r>
              <w:rPr>
                <w:rFonts w:eastAsia="SimSun" w:asciiTheme="minorHAnsi" w:hAnsiTheme="minorHAnsi" w:cstheme="minorHAnsi"/>
                <w:bCs w:val="0"/>
                <w:iCs/>
                <w:sz w:val="24"/>
                <w:szCs w:val="24"/>
                <w:lang w:val="fr-FR"/>
              </w:rPr>
              <w:t>advice</w:t>
            </w:r>
            <w:proofErr w:type="spellEnd"/>
            <w:r>
              <w:rPr>
                <w:rFonts w:eastAsia="SimSun" w:asciiTheme="minorHAnsi" w:hAnsiTheme="minorHAnsi" w:cstheme="minorHAnsi"/>
                <w:bCs w:val="0"/>
                <w:iCs/>
                <w:sz w:val="24"/>
                <w:szCs w:val="24"/>
                <w:lang w:val="fr-FR"/>
              </w:rPr>
              <w:t xml:space="preserve"> on data linkage.</w:t>
            </w:r>
          </w:p>
          <w:p w:rsidR="00274ACB" w:rsidP="00274ACB" w:rsidRDefault="00274ACB" w14:paraId="7C2C4598" w14:textId="77777777">
            <w:pPr>
              <w:pStyle w:val="ListParagraph"/>
              <w:ind w:left="360"/>
              <w:rPr>
                <w:rFonts w:asciiTheme="minorHAnsi" w:hAnsiTheme="minorHAnsi"/>
                <w:b w:val="0"/>
                <w:szCs w:val="24"/>
              </w:rPr>
            </w:pPr>
          </w:p>
          <w:p w:rsidRPr="00323521" w:rsidR="00274ACB" w:rsidP="00274ACB" w:rsidRDefault="00274ACB" w14:paraId="4976C3BE" w14:textId="77777777">
            <w:pPr>
              <w:pStyle w:val="ListParagraph"/>
              <w:ind w:left="360"/>
              <w:rPr>
                <w:rFonts w:asciiTheme="minorHAnsi" w:hAnsiTheme="minorHAnsi"/>
                <w:b w:val="0"/>
                <w:szCs w:val="24"/>
              </w:rPr>
            </w:pPr>
          </w:p>
        </w:tc>
      </w:tr>
      <w:tr w:rsidRPr="00323521" w:rsidR="00787EF3" w:rsidTr="5BD5A03F"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5BD5A03F"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EA6BE2" w:rsidR="00787EF3" w:rsidP="004A4B4A" w:rsidRDefault="004A4B4A" w14:paraId="7064A981" w14:textId="02829687">
            <w:pPr>
              <w:rPr>
                <w:rFonts w:asciiTheme="minorHAnsi" w:hAnsiTheme="minorHAnsi" w:cstheme="minorHAnsi"/>
                <w:szCs w:val="24"/>
              </w:rPr>
            </w:pPr>
            <w:r w:rsidRPr="00EA6BE2">
              <w:rPr>
                <w:rFonts w:asciiTheme="minorHAnsi" w:hAnsiTheme="minorHAnsi" w:cstheme="minorHAnsi"/>
                <w:szCs w:val="24"/>
              </w:rPr>
              <w:t>Networking opportunities:</w:t>
            </w:r>
          </w:p>
          <w:p w:rsidRPr="00EA6BE2" w:rsidR="004A4B4A" w:rsidP="004A4B4A" w:rsidRDefault="004A4B4A" w14:paraId="256333F9" w14:textId="1C4833CB">
            <w:pPr>
              <w:pStyle w:val="BodyText2"/>
              <w:tabs>
                <w:tab w:val="clear" w:pos="720"/>
              </w:tabs>
              <w:jc w:val="both"/>
              <w:rPr>
                <w:rFonts w:eastAsia="SimSun" w:asciiTheme="minorHAnsi" w:hAnsiTheme="minorHAnsi" w:cstheme="minorHAnsi"/>
                <w:bCs w:val="0"/>
                <w:sz w:val="24"/>
                <w:szCs w:val="24"/>
              </w:rPr>
            </w:pPr>
            <w:r w:rsidRPr="00EA6BE2">
              <w:rPr>
                <w:rFonts w:eastAsia="SimSun" w:asciiTheme="minorHAnsi" w:hAnsiTheme="minorHAnsi" w:cstheme="minorHAnsi"/>
                <w:bCs w:val="0"/>
                <w:sz w:val="24"/>
                <w:szCs w:val="24"/>
              </w:rPr>
              <w:t xml:space="preserve">The PhD will provide opportunities to link with </w:t>
            </w:r>
            <w:r w:rsidRPr="00EA6BE2" w:rsidR="00EA6BE2">
              <w:rPr>
                <w:rFonts w:eastAsia="SimSun" w:asciiTheme="minorHAnsi" w:hAnsiTheme="minorHAnsi" w:cstheme="minorHAnsi"/>
                <w:bCs w:val="0"/>
                <w:sz w:val="24"/>
                <w:szCs w:val="24"/>
              </w:rPr>
              <w:t xml:space="preserve">the Public Health Department and </w:t>
            </w:r>
            <w:r w:rsidR="00180000">
              <w:rPr>
                <w:rFonts w:eastAsia="SimSun" w:asciiTheme="minorHAnsi" w:hAnsiTheme="minorHAnsi" w:cstheme="minorHAnsi"/>
                <w:bCs w:val="0"/>
                <w:sz w:val="24"/>
                <w:szCs w:val="24"/>
              </w:rPr>
              <w:t>H</w:t>
            </w:r>
            <w:r w:rsidRPr="00EA6BE2" w:rsidR="00EA6BE2">
              <w:rPr>
                <w:rFonts w:eastAsia="SimSun" w:asciiTheme="minorHAnsi" w:hAnsiTheme="minorHAnsi" w:cstheme="minorHAnsi"/>
                <w:bCs w:val="0"/>
                <w:sz w:val="24"/>
                <w:szCs w:val="24"/>
              </w:rPr>
              <w:t xml:space="preserve">ealth </w:t>
            </w:r>
            <w:r w:rsidR="00180000">
              <w:rPr>
                <w:rFonts w:eastAsia="SimSun" w:asciiTheme="minorHAnsi" w:hAnsiTheme="minorHAnsi" w:cstheme="minorHAnsi"/>
                <w:bCs w:val="0"/>
                <w:sz w:val="24"/>
                <w:szCs w:val="24"/>
              </w:rPr>
              <w:t>I</w:t>
            </w:r>
            <w:r w:rsidRPr="00EA6BE2" w:rsidR="00EA6BE2">
              <w:rPr>
                <w:rFonts w:eastAsia="SimSun" w:asciiTheme="minorHAnsi" w:hAnsiTheme="minorHAnsi" w:cstheme="minorHAnsi"/>
                <w:bCs w:val="0"/>
                <w:sz w:val="24"/>
                <w:szCs w:val="24"/>
              </w:rPr>
              <w:t xml:space="preserve">nformatics team based at Royal Wolverhampton NHS Trust (RWT) through the </w:t>
            </w:r>
            <w:proofErr w:type="spellStart"/>
            <w:r w:rsidRPr="00EA6BE2" w:rsidR="00EA6BE2">
              <w:rPr>
                <w:rFonts w:eastAsia="SimSun" w:asciiTheme="minorHAnsi" w:hAnsiTheme="minorHAnsi" w:cstheme="minorHAnsi"/>
                <w:bCs w:val="0"/>
                <w:sz w:val="24"/>
                <w:szCs w:val="24"/>
              </w:rPr>
              <w:t>Keele</w:t>
            </w:r>
            <w:proofErr w:type="spellEnd"/>
            <w:r w:rsidRPr="00EA6BE2" w:rsidR="00EA6BE2">
              <w:rPr>
                <w:rFonts w:eastAsia="SimSun" w:asciiTheme="minorHAnsi" w:hAnsiTheme="minorHAnsi" w:cstheme="minorHAnsi"/>
                <w:bCs w:val="0"/>
                <w:sz w:val="24"/>
                <w:szCs w:val="24"/>
              </w:rPr>
              <w:t xml:space="preserve"> School of Medicine link with the RWT Academic Primary Care and Population Health Unit partnership. During the course of the </w:t>
            </w:r>
            <w:proofErr w:type="gramStart"/>
            <w:r w:rsidRPr="00EA6BE2" w:rsidR="00EA6BE2">
              <w:rPr>
                <w:rFonts w:eastAsia="SimSun" w:asciiTheme="minorHAnsi" w:hAnsiTheme="minorHAnsi" w:cstheme="minorHAnsi"/>
                <w:bCs w:val="0"/>
                <w:sz w:val="24"/>
                <w:szCs w:val="24"/>
              </w:rPr>
              <w:t>PhD</w:t>
            </w:r>
            <w:proofErr w:type="gramEnd"/>
            <w:r w:rsidRPr="00EA6BE2" w:rsidR="00EA6BE2">
              <w:rPr>
                <w:rFonts w:eastAsia="SimSun" w:asciiTheme="minorHAnsi" w:hAnsiTheme="minorHAnsi" w:cstheme="minorHAnsi"/>
                <w:bCs w:val="0"/>
                <w:sz w:val="24"/>
                <w:szCs w:val="24"/>
              </w:rPr>
              <w:t xml:space="preserve"> it is expected that the student will link with </w:t>
            </w:r>
            <w:r w:rsidRPr="00EA6BE2">
              <w:rPr>
                <w:rFonts w:eastAsia="SimSun" w:asciiTheme="minorHAnsi" w:hAnsiTheme="minorHAnsi" w:cstheme="minorHAnsi"/>
                <w:bCs w:val="0"/>
                <w:sz w:val="24"/>
                <w:szCs w:val="24"/>
              </w:rPr>
              <w:t>health inequalities groups at the RCGP, NHSE, Health Foundation and local CCG level leads</w:t>
            </w:r>
            <w:r w:rsidRPr="00EA6BE2" w:rsidR="00EA6BE2">
              <w:rPr>
                <w:rFonts w:eastAsia="SimSun" w:asciiTheme="minorHAnsi" w:hAnsiTheme="minorHAnsi" w:cstheme="minorHAnsi"/>
                <w:bCs w:val="0"/>
                <w:sz w:val="24"/>
                <w:szCs w:val="24"/>
              </w:rPr>
              <w:t xml:space="preserve"> to ensure findings influence public and national policy</w:t>
            </w:r>
          </w:p>
          <w:p w:rsidRPr="00EA6BE2" w:rsidR="004A4B4A" w:rsidP="004A4B4A" w:rsidRDefault="004A4B4A" w14:paraId="6DA68E2A" w14:textId="77777777">
            <w:pPr>
              <w:pStyle w:val="BodyText2"/>
              <w:tabs>
                <w:tab w:val="clear" w:pos="720"/>
              </w:tabs>
              <w:jc w:val="both"/>
              <w:rPr>
                <w:rFonts w:eastAsia="SimSun" w:asciiTheme="minorHAnsi" w:hAnsiTheme="minorHAnsi" w:cstheme="minorHAnsi"/>
                <w:b/>
                <w:sz w:val="24"/>
                <w:szCs w:val="24"/>
              </w:rPr>
            </w:pPr>
          </w:p>
          <w:p w:rsidRPr="00EA6BE2" w:rsidR="004A4B4A" w:rsidP="004A4B4A" w:rsidRDefault="004A4B4A" w14:paraId="30918CD1" w14:textId="3F77AFF8">
            <w:pPr>
              <w:pStyle w:val="BodyText2"/>
              <w:tabs>
                <w:tab w:val="clear" w:pos="720"/>
              </w:tabs>
              <w:jc w:val="both"/>
              <w:rPr>
                <w:rFonts w:eastAsia="SimSun" w:asciiTheme="minorHAnsi" w:hAnsiTheme="minorHAnsi" w:cstheme="minorHAnsi"/>
                <w:b/>
                <w:sz w:val="24"/>
                <w:szCs w:val="24"/>
              </w:rPr>
            </w:pPr>
            <w:r w:rsidRPr="00EA6BE2">
              <w:rPr>
                <w:rFonts w:eastAsia="SimSun" w:asciiTheme="minorHAnsi" w:hAnsiTheme="minorHAnsi" w:cstheme="minorHAnsi"/>
                <w:b/>
                <w:sz w:val="24"/>
                <w:szCs w:val="24"/>
              </w:rPr>
              <w:t>Educational opportunities:</w:t>
            </w:r>
          </w:p>
          <w:p w:rsidR="008A062D" w:rsidP="004A4B4A" w:rsidRDefault="004A4B4A" w14:paraId="60258C79" w14:textId="6B0388C2">
            <w:pPr>
              <w:pStyle w:val="BodyText2"/>
              <w:rPr>
                <w:rFonts w:eastAsia="SimSun" w:asciiTheme="minorHAnsi" w:hAnsiTheme="minorHAnsi" w:cstheme="minorHAnsi"/>
                <w:b/>
                <w:sz w:val="24"/>
                <w:szCs w:val="24"/>
              </w:rPr>
            </w:pPr>
            <w:r w:rsidRPr="00EA6BE2">
              <w:rPr>
                <w:rFonts w:eastAsia="SimSun" w:asciiTheme="minorHAnsi" w:hAnsiTheme="minorHAnsi" w:cstheme="minorHAnsi"/>
                <w:bCs w:val="0"/>
                <w:sz w:val="24"/>
                <w:szCs w:val="24"/>
              </w:rPr>
              <w:t xml:space="preserve">The successful candidate will have completed a relevant </w:t>
            </w:r>
            <w:proofErr w:type="spellStart"/>
            <w:proofErr w:type="gramStart"/>
            <w:r w:rsidRPr="00EA6BE2">
              <w:rPr>
                <w:rFonts w:eastAsia="SimSun" w:asciiTheme="minorHAnsi" w:hAnsiTheme="minorHAnsi" w:cstheme="minorHAnsi"/>
                <w:bCs w:val="0"/>
                <w:sz w:val="24"/>
                <w:szCs w:val="24"/>
              </w:rPr>
              <w:t>Masters</w:t>
            </w:r>
            <w:proofErr w:type="spellEnd"/>
            <w:r w:rsidRPr="00EA6BE2">
              <w:rPr>
                <w:rFonts w:eastAsia="SimSun" w:asciiTheme="minorHAnsi" w:hAnsiTheme="minorHAnsi" w:cstheme="minorHAnsi"/>
                <w:bCs w:val="0"/>
                <w:sz w:val="24"/>
                <w:szCs w:val="24"/>
              </w:rPr>
              <w:t xml:space="preserve"> degree in health sciences</w:t>
            </w:r>
            <w:proofErr w:type="gramEnd"/>
            <w:r w:rsidRPr="00EA6BE2">
              <w:rPr>
                <w:rFonts w:eastAsia="SimSun" w:asciiTheme="minorHAnsi" w:hAnsiTheme="minorHAnsi" w:cstheme="minorHAnsi"/>
                <w:bCs w:val="0"/>
                <w:sz w:val="24"/>
                <w:szCs w:val="24"/>
              </w:rPr>
              <w:t xml:space="preserve"> / statistics with evidence of practical skills in quantitative data analysis. They will be encouraged to identify generic and project-specific training needs using the Vitae Framework and to make full use of PGR workshops and training opportunities available from Academic Development at </w:t>
            </w:r>
            <w:proofErr w:type="spellStart"/>
            <w:r w:rsidRPr="00EA6BE2">
              <w:rPr>
                <w:rFonts w:eastAsia="SimSun" w:asciiTheme="minorHAnsi" w:hAnsiTheme="minorHAnsi" w:cstheme="minorHAnsi"/>
                <w:bCs w:val="0"/>
                <w:sz w:val="24"/>
                <w:szCs w:val="24"/>
              </w:rPr>
              <w:t>Keele</w:t>
            </w:r>
            <w:proofErr w:type="spellEnd"/>
            <w:r w:rsidRPr="00EA6BE2">
              <w:rPr>
                <w:rFonts w:eastAsia="SimSun" w:asciiTheme="minorHAnsi" w:hAnsiTheme="minorHAnsi" w:cstheme="minorHAnsi"/>
                <w:bCs w:val="0"/>
                <w:sz w:val="24"/>
                <w:szCs w:val="24"/>
              </w:rPr>
              <w:t xml:space="preserve"> University, as well as informal training opportunities such as journal clubs and seminar programmes in </w:t>
            </w:r>
            <w:proofErr w:type="spellStart"/>
            <w:r w:rsidRPr="00EA6BE2">
              <w:rPr>
                <w:rFonts w:eastAsia="SimSun" w:asciiTheme="minorHAnsi" w:hAnsiTheme="minorHAnsi" w:cstheme="minorHAnsi"/>
                <w:bCs w:val="0"/>
                <w:sz w:val="24"/>
                <w:szCs w:val="24"/>
              </w:rPr>
              <w:t>SoM.</w:t>
            </w:r>
            <w:proofErr w:type="spellEnd"/>
            <w:r w:rsidR="008A062D">
              <w:rPr>
                <w:rFonts w:eastAsia="SimSun" w:asciiTheme="minorHAnsi" w:hAnsiTheme="minorHAnsi" w:cstheme="minorHAnsi"/>
                <w:bCs w:val="0"/>
                <w:sz w:val="24"/>
                <w:szCs w:val="24"/>
              </w:rPr>
              <w:t xml:space="preserve"> The student will utilise internal courses and workshops</w:t>
            </w:r>
            <w:r w:rsidR="00F54009">
              <w:rPr>
                <w:rFonts w:eastAsia="SimSun" w:asciiTheme="minorHAnsi" w:hAnsiTheme="minorHAnsi" w:cstheme="minorHAnsi"/>
                <w:bCs w:val="0"/>
                <w:sz w:val="24"/>
                <w:szCs w:val="24"/>
              </w:rPr>
              <w:t xml:space="preserve"> at </w:t>
            </w:r>
            <w:proofErr w:type="spellStart"/>
            <w:r w:rsidR="00F54009">
              <w:rPr>
                <w:rFonts w:eastAsia="SimSun" w:asciiTheme="minorHAnsi" w:hAnsiTheme="minorHAnsi" w:cstheme="minorHAnsi"/>
                <w:bCs w:val="0"/>
                <w:sz w:val="24"/>
                <w:szCs w:val="24"/>
              </w:rPr>
              <w:t>Keele</w:t>
            </w:r>
            <w:proofErr w:type="spellEnd"/>
            <w:r w:rsidR="008A062D">
              <w:rPr>
                <w:rFonts w:eastAsia="SimSun" w:asciiTheme="minorHAnsi" w:hAnsiTheme="minorHAnsi" w:cstheme="minorHAnsi"/>
                <w:bCs w:val="0"/>
                <w:sz w:val="24"/>
                <w:szCs w:val="24"/>
              </w:rPr>
              <w:t xml:space="preserve">, for example systematic review and evidence synthesis workshops and </w:t>
            </w:r>
            <w:r w:rsidR="00F54009">
              <w:rPr>
                <w:rFonts w:eastAsia="SimSun" w:asciiTheme="minorHAnsi" w:hAnsiTheme="minorHAnsi" w:cstheme="minorHAnsi"/>
                <w:bCs w:val="0"/>
                <w:sz w:val="24"/>
                <w:szCs w:val="24"/>
              </w:rPr>
              <w:t>statistics</w:t>
            </w:r>
            <w:r w:rsidR="008A062D">
              <w:rPr>
                <w:rFonts w:eastAsia="SimSun" w:asciiTheme="minorHAnsi" w:hAnsiTheme="minorHAnsi" w:cstheme="minorHAnsi"/>
                <w:bCs w:val="0"/>
                <w:sz w:val="24"/>
                <w:szCs w:val="24"/>
              </w:rPr>
              <w:t xml:space="preserve"> and epidemiology courses.</w:t>
            </w:r>
          </w:p>
          <w:p w:rsidR="008A062D" w:rsidP="004A4B4A" w:rsidRDefault="008A062D" w14:paraId="3979D3CA" w14:textId="77777777">
            <w:pPr>
              <w:pStyle w:val="BodyText2"/>
              <w:rPr>
                <w:rFonts w:eastAsia="SimSun" w:asciiTheme="minorHAnsi" w:hAnsiTheme="minorHAnsi" w:cstheme="minorHAnsi"/>
                <w:b/>
                <w:sz w:val="24"/>
                <w:szCs w:val="24"/>
              </w:rPr>
            </w:pPr>
          </w:p>
          <w:p w:rsidRPr="00EA6BE2" w:rsidR="00787EF3" w:rsidP="00180000" w:rsidRDefault="008A062D" w14:paraId="220F35E2" w14:textId="18F7A147">
            <w:pPr>
              <w:pStyle w:val="BodyText2"/>
              <w:rPr>
                <w:rFonts w:asciiTheme="minorHAnsi" w:hAnsiTheme="minorHAnsi" w:cstheme="minorHAnsi"/>
                <w:bCs w:val="0"/>
                <w:sz w:val="24"/>
                <w:szCs w:val="24"/>
              </w:rPr>
            </w:pPr>
            <w:r>
              <w:rPr>
                <w:rFonts w:eastAsia="SimSun" w:asciiTheme="minorHAnsi" w:hAnsiTheme="minorHAnsi" w:cstheme="minorHAnsi"/>
                <w:bCs w:val="0"/>
                <w:sz w:val="24"/>
                <w:szCs w:val="24"/>
              </w:rPr>
              <w:t xml:space="preserve">Opportunities will be provided for the student to attend external workshops and courses on health inequalities and social determinants of health, for example, courses hosted by </w:t>
            </w:r>
            <w:proofErr w:type="spellStart"/>
            <w:r>
              <w:rPr>
                <w:rFonts w:eastAsia="SimSun" w:asciiTheme="minorHAnsi" w:hAnsiTheme="minorHAnsi" w:cstheme="minorHAnsi"/>
                <w:bCs w:val="0"/>
                <w:sz w:val="24"/>
                <w:szCs w:val="24"/>
              </w:rPr>
              <w:t>Futurelearn</w:t>
            </w:r>
            <w:proofErr w:type="spellEnd"/>
            <w:r>
              <w:rPr>
                <w:rFonts w:eastAsia="SimSun" w:asciiTheme="minorHAnsi" w:hAnsiTheme="minorHAnsi" w:cstheme="minorHAnsi"/>
                <w:bCs w:val="0"/>
                <w:sz w:val="24"/>
                <w:szCs w:val="24"/>
              </w:rPr>
              <w:t xml:space="preserve"> and </w:t>
            </w:r>
            <w:r w:rsidR="00F54009">
              <w:rPr>
                <w:rFonts w:eastAsia="SimSun" w:asciiTheme="minorHAnsi" w:hAnsiTheme="minorHAnsi" w:cstheme="minorHAnsi"/>
                <w:bCs w:val="0"/>
                <w:sz w:val="24"/>
                <w:szCs w:val="24"/>
              </w:rPr>
              <w:t xml:space="preserve">the </w:t>
            </w:r>
            <w:r>
              <w:rPr>
                <w:rFonts w:eastAsia="SimSun" w:asciiTheme="minorHAnsi" w:hAnsiTheme="minorHAnsi" w:cstheme="minorHAnsi"/>
                <w:bCs w:val="0"/>
                <w:sz w:val="24"/>
                <w:szCs w:val="24"/>
              </w:rPr>
              <w:t xml:space="preserve">BMJ. This is in addition to formal training courses on </w:t>
            </w:r>
            <w:r w:rsidR="00F54009">
              <w:rPr>
                <w:rFonts w:eastAsia="SimSun" w:asciiTheme="minorHAnsi" w:hAnsiTheme="minorHAnsi" w:cstheme="minorHAnsi"/>
                <w:bCs w:val="0"/>
                <w:sz w:val="24"/>
                <w:szCs w:val="24"/>
              </w:rPr>
              <w:t>understanding</w:t>
            </w:r>
            <w:r>
              <w:rPr>
                <w:rFonts w:eastAsia="SimSun" w:asciiTheme="minorHAnsi" w:hAnsiTheme="minorHAnsi" w:cstheme="minorHAnsi"/>
                <w:bCs w:val="0"/>
                <w:sz w:val="24"/>
                <w:szCs w:val="24"/>
              </w:rPr>
              <w:t xml:space="preserve"> electronic healthcare records and big datasets</w:t>
            </w:r>
            <w:r w:rsidR="00F54009">
              <w:rPr>
                <w:rFonts w:eastAsia="SimSun" w:asciiTheme="minorHAnsi" w:hAnsiTheme="minorHAnsi" w:cstheme="minorHAnsi"/>
                <w:bCs w:val="0"/>
                <w:sz w:val="24"/>
                <w:szCs w:val="24"/>
              </w:rPr>
              <w:t>,</w:t>
            </w:r>
            <w:r>
              <w:rPr>
                <w:rFonts w:eastAsia="SimSun" w:asciiTheme="minorHAnsi" w:hAnsiTheme="minorHAnsi" w:cstheme="minorHAnsi"/>
                <w:bCs w:val="0"/>
                <w:sz w:val="24"/>
                <w:szCs w:val="24"/>
              </w:rPr>
              <w:t xml:space="preserve"> and advanced statistic</w:t>
            </w:r>
            <w:r w:rsidR="00F54009">
              <w:rPr>
                <w:rFonts w:eastAsia="SimSun" w:asciiTheme="minorHAnsi" w:hAnsiTheme="minorHAnsi" w:cstheme="minorHAnsi"/>
                <w:bCs w:val="0"/>
                <w:sz w:val="24"/>
                <w:szCs w:val="24"/>
              </w:rPr>
              <w:t>al</w:t>
            </w:r>
            <w:r>
              <w:rPr>
                <w:rFonts w:eastAsia="SimSun" w:asciiTheme="minorHAnsi" w:hAnsiTheme="minorHAnsi" w:cstheme="minorHAnsi"/>
                <w:bCs w:val="0"/>
                <w:sz w:val="24"/>
                <w:szCs w:val="24"/>
              </w:rPr>
              <w:t xml:space="preserve"> techniques such as multi-level modelling.</w:t>
            </w:r>
          </w:p>
        </w:tc>
      </w:tr>
      <w:tr w:rsidRPr="00323521" w:rsidR="00E0356E" w:rsidTr="5BD5A03F"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lastRenderedPageBreak/>
              <w:t>Project description:</w:t>
            </w:r>
          </w:p>
        </w:tc>
      </w:tr>
      <w:tr w:rsidRPr="00323521" w:rsidR="00E0356E" w:rsidTr="5BD5A03F"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74C55" w:rsidR="00EA6BE2" w:rsidP="00EA6BE2" w:rsidRDefault="00EA6BE2" w14:paraId="36E8B863" w14:textId="77777777">
            <w:pPr>
              <w:rPr>
                <w:rFonts w:asciiTheme="minorHAnsi" w:hAnsiTheme="minorHAnsi" w:cstheme="minorHAnsi"/>
                <w:szCs w:val="24"/>
              </w:rPr>
            </w:pPr>
            <w:r w:rsidRPr="00174C55">
              <w:rPr>
                <w:rFonts w:asciiTheme="minorHAnsi" w:hAnsiTheme="minorHAnsi" w:cstheme="minorHAnsi"/>
                <w:szCs w:val="24"/>
              </w:rPr>
              <w:t>Background</w:t>
            </w:r>
          </w:p>
          <w:p w:rsidRPr="00174C55" w:rsidR="00EA6BE2" w:rsidP="00EA6BE2" w:rsidRDefault="00EA6BE2" w14:paraId="18F67214" w14:textId="77777777">
            <w:pPr>
              <w:widowControl w:val="0"/>
              <w:rPr>
                <w:rFonts w:asciiTheme="minorHAnsi" w:hAnsiTheme="minorHAnsi" w:cstheme="minorHAnsi"/>
                <w:b w:val="0"/>
                <w:bCs w:val="0"/>
                <w:szCs w:val="24"/>
              </w:rPr>
            </w:pPr>
            <w:r w:rsidRPr="00174C55">
              <w:rPr>
                <w:rFonts w:asciiTheme="minorHAnsi" w:hAnsiTheme="minorHAnsi" w:cstheme="minorHAnsi"/>
                <w:b w:val="0"/>
                <w:bCs w:val="0"/>
                <w:szCs w:val="24"/>
              </w:rPr>
              <w:t xml:space="preserve">Health inequalities are worsening in the </w:t>
            </w:r>
            <w:proofErr w:type="gramStart"/>
            <w:r w:rsidRPr="00174C55">
              <w:rPr>
                <w:rFonts w:asciiTheme="minorHAnsi" w:hAnsiTheme="minorHAnsi" w:cstheme="minorHAnsi"/>
                <w:b w:val="0"/>
                <w:bCs w:val="0"/>
                <w:szCs w:val="24"/>
              </w:rPr>
              <w:t>UK</w:t>
            </w:r>
            <w:r w:rsidRPr="00174C55">
              <w:rPr>
                <w:rFonts w:asciiTheme="minorHAnsi" w:hAnsiTheme="minorHAnsi" w:cstheme="minorHAnsi"/>
                <w:b w:val="0"/>
                <w:bCs w:val="0"/>
                <w:szCs w:val="24"/>
                <w:vertAlign w:val="superscript"/>
              </w:rPr>
              <w:t>1</w:t>
            </w:r>
            <w:proofErr w:type="gramEnd"/>
            <w:r w:rsidRPr="00174C55">
              <w:rPr>
                <w:rFonts w:asciiTheme="minorHAnsi" w:hAnsiTheme="minorHAnsi" w:cstheme="minorHAnsi"/>
                <w:b w:val="0"/>
                <w:bCs w:val="0"/>
                <w:szCs w:val="24"/>
              </w:rPr>
              <w:t xml:space="preserve"> and the Covid-19 pandemic has further exposed disparities in health and health outcomes</w:t>
            </w:r>
            <w:r w:rsidRPr="00174C55">
              <w:rPr>
                <w:rFonts w:asciiTheme="minorHAnsi" w:hAnsiTheme="minorHAnsi" w:cstheme="minorHAnsi"/>
                <w:b w:val="0"/>
                <w:bCs w:val="0"/>
                <w:szCs w:val="24"/>
                <w:vertAlign w:val="superscript"/>
              </w:rPr>
              <w:t>2</w:t>
            </w:r>
            <w:r w:rsidRPr="00174C55">
              <w:rPr>
                <w:rFonts w:asciiTheme="minorHAnsi" w:hAnsiTheme="minorHAnsi" w:cstheme="minorHAnsi"/>
                <w:b w:val="0"/>
                <w:bCs w:val="0"/>
                <w:szCs w:val="24"/>
              </w:rPr>
              <w:t>. Social determinants of health - the conditions in which people are born, grow, work, live, and age, and the wider set of forces and systems shaping the conditions of daily life</w:t>
            </w:r>
            <w:r w:rsidRPr="00174C55">
              <w:rPr>
                <w:rFonts w:asciiTheme="minorHAnsi" w:hAnsiTheme="minorHAnsi" w:cstheme="minorHAnsi"/>
                <w:b w:val="0"/>
                <w:bCs w:val="0"/>
                <w:szCs w:val="24"/>
                <w:vertAlign w:val="superscript"/>
              </w:rPr>
              <w:t>3</w:t>
            </w:r>
            <w:r w:rsidRPr="00174C55">
              <w:rPr>
                <w:rFonts w:asciiTheme="minorHAnsi" w:hAnsiTheme="minorHAnsi" w:cstheme="minorHAnsi"/>
                <w:b w:val="0"/>
                <w:bCs w:val="0"/>
                <w:szCs w:val="24"/>
              </w:rPr>
              <w:t xml:space="preserve"> – critically influence population and individual health outcomes. Despite this, information on individual-level social risks </w:t>
            </w:r>
            <w:proofErr w:type="gramStart"/>
            <w:r w:rsidRPr="00174C55">
              <w:rPr>
                <w:rFonts w:asciiTheme="minorHAnsi" w:hAnsiTheme="minorHAnsi" w:cstheme="minorHAnsi"/>
                <w:b w:val="0"/>
                <w:bCs w:val="0"/>
                <w:szCs w:val="24"/>
              </w:rPr>
              <w:t>are</w:t>
            </w:r>
            <w:proofErr w:type="gramEnd"/>
            <w:r w:rsidRPr="00174C55">
              <w:rPr>
                <w:rFonts w:asciiTheme="minorHAnsi" w:hAnsiTheme="minorHAnsi" w:cstheme="minorHAnsi"/>
                <w:b w:val="0"/>
                <w:bCs w:val="0"/>
                <w:szCs w:val="24"/>
              </w:rPr>
              <w:t xml:space="preserve"> not collected routinely or in a standardised format in primary care. This may be due to insufficient time during the GP consultation to collect such data or to respond when a risk is identified, lack of services or lack of knowledge on available services to help these people once a need has been </w:t>
            </w:r>
            <w:proofErr w:type="gramStart"/>
            <w:r w:rsidRPr="00174C55">
              <w:rPr>
                <w:rFonts w:asciiTheme="minorHAnsi" w:hAnsiTheme="minorHAnsi" w:cstheme="minorHAnsi"/>
                <w:b w:val="0"/>
                <w:bCs w:val="0"/>
                <w:szCs w:val="24"/>
              </w:rPr>
              <w:t>identified, and</w:t>
            </w:r>
            <w:proofErr w:type="gramEnd"/>
            <w:r w:rsidRPr="00174C55">
              <w:rPr>
                <w:rFonts w:asciiTheme="minorHAnsi" w:hAnsiTheme="minorHAnsi" w:cstheme="minorHAnsi"/>
                <w:b w:val="0"/>
                <w:bCs w:val="0"/>
                <w:szCs w:val="24"/>
              </w:rPr>
              <w:t xml:space="preserve"> feeling uncomfortable asking these questions</w:t>
            </w:r>
            <w:r w:rsidRPr="00174C55">
              <w:rPr>
                <w:rFonts w:asciiTheme="minorHAnsi" w:hAnsiTheme="minorHAnsi" w:cstheme="minorHAnsi"/>
                <w:b w:val="0"/>
                <w:bCs w:val="0"/>
                <w:szCs w:val="24"/>
                <w:vertAlign w:val="superscript"/>
              </w:rPr>
              <w:t>4</w:t>
            </w:r>
            <w:r w:rsidRPr="00174C55">
              <w:rPr>
                <w:rFonts w:asciiTheme="minorHAnsi" w:hAnsiTheme="minorHAnsi" w:cstheme="minorHAnsi"/>
                <w:b w:val="0"/>
                <w:bCs w:val="0"/>
                <w:szCs w:val="24"/>
              </w:rPr>
              <w:t>. The Indices of Multiple Deprivation are the routinely used measure in England for deprivation based on geographical area</w:t>
            </w:r>
            <w:r w:rsidRPr="00174C55">
              <w:rPr>
                <w:rFonts w:asciiTheme="minorHAnsi" w:hAnsiTheme="minorHAnsi" w:cstheme="minorHAnsi"/>
                <w:b w:val="0"/>
                <w:bCs w:val="0"/>
                <w:szCs w:val="24"/>
                <w:vertAlign w:val="subscript"/>
              </w:rPr>
              <w:softHyphen/>
            </w:r>
            <w:r w:rsidRPr="00174C55">
              <w:rPr>
                <w:rFonts w:asciiTheme="minorHAnsi" w:hAnsiTheme="minorHAnsi" w:cstheme="minorHAnsi"/>
                <w:b w:val="0"/>
                <w:bCs w:val="0"/>
                <w:szCs w:val="24"/>
                <w:vertAlign w:val="superscript"/>
              </w:rPr>
              <w:t>5</w:t>
            </w:r>
            <w:r w:rsidRPr="00174C55">
              <w:rPr>
                <w:rFonts w:asciiTheme="minorHAnsi" w:hAnsiTheme="minorHAnsi" w:cstheme="minorHAnsi"/>
                <w:b w:val="0"/>
                <w:bCs w:val="0"/>
                <w:szCs w:val="24"/>
              </w:rPr>
              <w:t xml:space="preserve"> but does not give accurate information at an individual level. Yet there is some evidence that having better information on individual-level social risks and social needs can improve health outcomes through adaptations of care plans, influence on clinical decision making</w:t>
            </w:r>
            <w:r w:rsidRPr="00174C55">
              <w:rPr>
                <w:rFonts w:asciiTheme="minorHAnsi" w:hAnsiTheme="minorHAnsi" w:cstheme="minorHAnsi"/>
                <w:b w:val="0"/>
                <w:bCs w:val="0"/>
                <w:szCs w:val="24"/>
                <w:vertAlign w:val="superscript"/>
              </w:rPr>
              <w:t>6</w:t>
            </w:r>
            <w:r w:rsidRPr="00174C55">
              <w:rPr>
                <w:rFonts w:asciiTheme="minorHAnsi" w:hAnsiTheme="minorHAnsi" w:cstheme="minorHAnsi"/>
                <w:b w:val="0"/>
                <w:bCs w:val="0"/>
                <w:szCs w:val="24"/>
              </w:rPr>
              <w:t>, being mindful of financial barriers to accessing medication, addressing behavioural health issues, helping with transportation</w:t>
            </w:r>
            <w:r w:rsidRPr="00174C55">
              <w:rPr>
                <w:rFonts w:asciiTheme="minorHAnsi" w:hAnsiTheme="minorHAnsi" w:cstheme="minorHAnsi"/>
                <w:b w:val="0"/>
                <w:bCs w:val="0"/>
                <w:szCs w:val="24"/>
                <w:vertAlign w:val="superscript"/>
              </w:rPr>
              <w:t>7</w:t>
            </w:r>
            <w:r w:rsidRPr="00174C55">
              <w:rPr>
                <w:rFonts w:asciiTheme="minorHAnsi" w:hAnsiTheme="minorHAnsi" w:cstheme="minorHAnsi"/>
                <w:b w:val="0"/>
                <w:bCs w:val="0"/>
                <w:szCs w:val="24"/>
              </w:rPr>
              <w:t xml:space="preserve"> and increased referral to community services such as social prescribers</w:t>
            </w:r>
            <w:r w:rsidRPr="00174C55">
              <w:rPr>
                <w:rFonts w:asciiTheme="minorHAnsi" w:hAnsiTheme="minorHAnsi" w:cstheme="minorHAnsi"/>
                <w:b w:val="0"/>
                <w:bCs w:val="0"/>
                <w:szCs w:val="24"/>
                <w:vertAlign w:val="superscript"/>
              </w:rPr>
              <w:t>8-10</w:t>
            </w:r>
            <w:r w:rsidRPr="00174C55">
              <w:rPr>
                <w:rFonts w:asciiTheme="minorHAnsi" w:hAnsiTheme="minorHAnsi" w:cstheme="minorHAnsi"/>
                <w:b w:val="0"/>
                <w:bCs w:val="0"/>
                <w:szCs w:val="24"/>
              </w:rPr>
              <w:t xml:space="preserve">. </w:t>
            </w:r>
          </w:p>
          <w:p w:rsidRPr="00174C55" w:rsidR="00EA6BE2" w:rsidP="00EA6BE2" w:rsidRDefault="00EA6BE2" w14:paraId="41832103" w14:textId="77777777">
            <w:pPr>
              <w:widowControl w:val="0"/>
              <w:rPr>
                <w:rFonts w:asciiTheme="minorHAnsi" w:hAnsiTheme="minorHAnsi" w:cstheme="minorHAnsi"/>
                <w:b w:val="0"/>
                <w:bCs w:val="0"/>
                <w:szCs w:val="24"/>
              </w:rPr>
            </w:pPr>
          </w:p>
          <w:p w:rsidRPr="00174C55" w:rsidR="00EA6BE2" w:rsidP="00EA6BE2" w:rsidRDefault="00EA6BE2" w14:paraId="5E964F52" w14:textId="77777777">
            <w:pPr>
              <w:widowControl w:val="0"/>
              <w:rPr>
                <w:rFonts w:asciiTheme="minorHAnsi" w:hAnsiTheme="minorHAnsi" w:cstheme="minorHAnsi"/>
                <w:b w:val="0"/>
                <w:bCs w:val="0"/>
                <w:szCs w:val="24"/>
              </w:rPr>
            </w:pPr>
            <w:r w:rsidRPr="00174C55">
              <w:rPr>
                <w:rFonts w:asciiTheme="minorHAnsi" w:hAnsiTheme="minorHAnsi" w:cstheme="minorHAnsi"/>
                <w:b w:val="0"/>
                <w:bCs w:val="0"/>
                <w:szCs w:val="24"/>
              </w:rPr>
              <w:t xml:space="preserve">There is increasing scientific enquiry comparing individual level socio-economic factors with area level factors on certain health outcomes with mixed results. There are concerns that using area level variables instead of individual level indicators leads to an increase in measurement error due to inference of individual level data </w:t>
            </w:r>
            <w:proofErr w:type="gramStart"/>
            <w:r w:rsidRPr="00174C55">
              <w:rPr>
                <w:rFonts w:asciiTheme="minorHAnsi" w:hAnsiTheme="minorHAnsi" w:cstheme="minorHAnsi"/>
                <w:b w:val="0"/>
                <w:bCs w:val="0"/>
                <w:szCs w:val="24"/>
              </w:rPr>
              <w:t>on the basis of</w:t>
            </w:r>
            <w:proofErr w:type="gramEnd"/>
            <w:r w:rsidRPr="00174C55">
              <w:rPr>
                <w:rFonts w:asciiTheme="minorHAnsi" w:hAnsiTheme="minorHAnsi" w:cstheme="minorHAnsi"/>
                <w:b w:val="0"/>
                <w:bCs w:val="0"/>
                <w:szCs w:val="24"/>
              </w:rPr>
              <w:t xml:space="preserve"> grouped data, something called ecologic fallacy</w:t>
            </w:r>
            <w:r w:rsidRPr="00174C55">
              <w:rPr>
                <w:rFonts w:asciiTheme="minorHAnsi" w:hAnsiTheme="minorHAnsi" w:cstheme="minorHAnsi"/>
                <w:b w:val="0"/>
                <w:bCs w:val="0"/>
                <w:szCs w:val="24"/>
                <w:vertAlign w:val="superscript"/>
              </w:rPr>
              <w:t>11</w:t>
            </w:r>
            <w:r w:rsidRPr="00174C55">
              <w:rPr>
                <w:rFonts w:asciiTheme="minorHAnsi" w:hAnsiTheme="minorHAnsi" w:cstheme="minorHAnsi"/>
                <w:b w:val="0"/>
                <w:bCs w:val="0"/>
                <w:szCs w:val="24"/>
              </w:rPr>
              <w:t>. Area level indicators have also been shown to be independently associated with certain outcomes and therefore should be used cautiously as a proxy measure of individual level factors as they may overestimate associations</w:t>
            </w:r>
            <w:r w:rsidRPr="00174C55">
              <w:rPr>
                <w:rFonts w:asciiTheme="minorHAnsi" w:hAnsiTheme="minorHAnsi" w:cstheme="minorHAnsi"/>
                <w:b w:val="0"/>
                <w:bCs w:val="0"/>
                <w:szCs w:val="24"/>
                <w:vertAlign w:val="superscript"/>
              </w:rPr>
              <w:t>12-13</w:t>
            </w:r>
            <w:r w:rsidRPr="00174C55">
              <w:rPr>
                <w:rFonts w:asciiTheme="minorHAnsi" w:hAnsiTheme="minorHAnsi" w:cstheme="minorHAnsi"/>
                <w:b w:val="0"/>
                <w:bCs w:val="0"/>
                <w:szCs w:val="24"/>
              </w:rPr>
              <w:t xml:space="preserve">. There are also concerns that individual and area level indicators do not reflect the same reality, are based on different </w:t>
            </w:r>
            <w:proofErr w:type="gramStart"/>
            <w:r w:rsidRPr="00174C55">
              <w:rPr>
                <w:rFonts w:asciiTheme="minorHAnsi" w:hAnsiTheme="minorHAnsi" w:cstheme="minorHAnsi"/>
                <w:b w:val="0"/>
                <w:bCs w:val="0"/>
                <w:szCs w:val="24"/>
              </w:rPr>
              <w:t>constructs</w:t>
            </w:r>
            <w:proofErr w:type="gramEnd"/>
            <w:r w:rsidRPr="00174C55">
              <w:rPr>
                <w:rFonts w:asciiTheme="minorHAnsi" w:hAnsiTheme="minorHAnsi" w:cstheme="minorHAnsi"/>
                <w:b w:val="0"/>
                <w:bCs w:val="0"/>
                <w:szCs w:val="24"/>
              </w:rPr>
              <w:t xml:space="preserve"> and contribute independently to outcomes observed</w:t>
            </w:r>
            <w:r w:rsidRPr="00174C55">
              <w:rPr>
                <w:rFonts w:asciiTheme="minorHAnsi" w:hAnsiTheme="minorHAnsi" w:cstheme="minorHAnsi"/>
                <w:b w:val="0"/>
                <w:bCs w:val="0"/>
                <w:szCs w:val="24"/>
                <w:vertAlign w:val="superscript"/>
              </w:rPr>
              <w:t>13</w:t>
            </w:r>
            <w:r w:rsidRPr="00174C55">
              <w:rPr>
                <w:rFonts w:asciiTheme="minorHAnsi" w:hAnsiTheme="minorHAnsi" w:cstheme="minorHAnsi"/>
                <w:b w:val="0"/>
                <w:bCs w:val="0"/>
                <w:szCs w:val="24"/>
              </w:rPr>
              <w:t>. Furthermore, there are concerns about measurement validity and construct validity when area level variables are used</w:t>
            </w:r>
            <w:r w:rsidRPr="00174C55">
              <w:rPr>
                <w:rFonts w:asciiTheme="minorHAnsi" w:hAnsiTheme="minorHAnsi" w:cstheme="minorHAnsi"/>
                <w:b w:val="0"/>
                <w:bCs w:val="0"/>
                <w:szCs w:val="24"/>
                <w:vertAlign w:val="superscript"/>
              </w:rPr>
              <w:t>14</w:t>
            </w:r>
            <w:r w:rsidRPr="00174C55">
              <w:rPr>
                <w:rFonts w:asciiTheme="minorHAnsi" w:hAnsiTheme="minorHAnsi" w:cstheme="minorHAnsi"/>
                <w:b w:val="0"/>
                <w:bCs w:val="0"/>
                <w:szCs w:val="24"/>
              </w:rPr>
              <w:t xml:space="preserve">. </w:t>
            </w:r>
          </w:p>
          <w:p w:rsidRPr="00174C55" w:rsidR="00EA6BE2" w:rsidP="00EA6BE2" w:rsidRDefault="00EA6BE2" w14:paraId="476DF7D2" w14:textId="77777777">
            <w:pPr>
              <w:widowControl w:val="0"/>
              <w:rPr>
                <w:rFonts w:asciiTheme="minorHAnsi" w:hAnsiTheme="minorHAnsi" w:cstheme="minorHAnsi"/>
                <w:b w:val="0"/>
                <w:bCs w:val="0"/>
                <w:szCs w:val="24"/>
              </w:rPr>
            </w:pPr>
          </w:p>
          <w:p w:rsidRPr="00174C55" w:rsidR="00EA6BE2" w:rsidP="00EA6BE2" w:rsidRDefault="00EA6BE2" w14:paraId="60C916DE" w14:textId="77777777">
            <w:pPr>
              <w:widowControl w:val="0"/>
              <w:rPr>
                <w:rFonts w:asciiTheme="minorHAnsi" w:hAnsiTheme="minorHAnsi" w:cstheme="minorHAnsi"/>
                <w:b w:val="0"/>
                <w:bCs w:val="0"/>
                <w:szCs w:val="24"/>
              </w:rPr>
            </w:pPr>
            <w:r w:rsidRPr="00174C55">
              <w:rPr>
                <w:rFonts w:asciiTheme="minorHAnsi" w:hAnsiTheme="minorHAnsi" w:cstheme="minorHAnsi"/>
                <w:b w:val="0"/>
                <w:bCs w:val="0"/>
                <w:szCs w:val="24"/>
              </w:rPr>
              <w:t xml:space="preserve">In some studies, individual level risk factors showed associations with outcomes that area level factors did not, for example residential instability versus Area Deprivation Index and chronic asthma severity, </w:t>
            </w:r>
            <w:proofErr w:type="gramStart"/>
            <w:r w:rsidRPr="00174C55">
              <w:rPr>
                <w:rFonts w:asciiTheme="minorHAnsi" w:hAnsiTheme="minorHAnsi" w:cstheme="minorHAnsi"/>
                <w:b w:val="0"/>
                <w:bCs w:val="0"/>
                <w:szCs w:val="24"/>
              </w:rPr>
              <w:t>365 day</w:t>
            </w:r>
            <w:proofErr w:type="gramEnd"/>
            <w:r w:rsidRPr="00174C55">
              <w:rPr>
                <w:rFonts w:asciiTheme="minorHAnsi" w:hAnsiTheme="minorHAnsi" w:cstheme="minorHAnsi"/>
                <w:b w:val="0"/>
                <w:bCs w:val="0"/>
                <w:szCs w:val="24"/>
              </w:rPr>
              <w:t xml:space="preserve"> ED readmission and hospitalisation rates</w:t>
            </w:r>
            <w:r w:rsidRPr="00174C55">
              <w:rPr>
                <w:rFonts w:asciiTheme="minorHAnsi" w:hAnsiTheme="minorHAnsi" w:cstheme="minorHAnsi"/>
                <w:b w:val="0"/>
                <w:bCs w:val="0"/>
                <w:szCs w:val="24"/>
                <w:vertAlign w:val="superscript"/>
              </w:rPr>
              <w:t>15</w:t>
            </w:r>
            <w:r w:rsidRPr="00174C55">
              <w:rPr>
                <w:rFonts w:asciiTheme="minorHAnsi" w:hAnsiTheme="minorHAnsi" w:cstheme="minorHAnsi"/>
                <w:b w:val="0"/>
                <w:bCs w:val="0"/>
                <w:szCs w:val="24"/>
              </w:rPr>
              <w:t>. Another study found a significant association with ED attendance in children with asthma for individual level factors such as living in overcrowded accommodation, living in rented accommodation, and access to a car but no significant association with Townsend Deprivation</w:t>
            </w:r>
            <w:r w:rsidRPr="00174C55">
              <w:rPr>
                <w:rFonts w:asciiTheme="minorHAnsi" w:hAnsiTheme="minorHAnsi" w:cstheme="minorHAnsi"/>
                <w:b w:val="0"/>
                <w:bCs w:val="0"/>
                <w:szCs w:val="24"/>
                <w:vertAlign w:val="superscript"/>
              </w:rPr>
              <w:t>16</w:t>
            </w:r>
            <w:r w:rsidRPr="00174C55">
              <w:rPr>
                <w:rFonts w:asciiTheme="minorHAnsi" w:hAnsiTheme="minorHAnsi" w:cstheme="minorHAnsi"/>
                <w:b w:val="0"/>
                <w:bCs w:val="0"/>
                <w:szCs w:val="24"/>
              </w:rPr>
              <w:t>.</w:t>
            </w:r>
          </w:p>
          <w:p w:rsidRPr="00174C55" w:rsidR="00EA6BE2" w:rsidP="00EA6BE2" w:rsidRDefault="00EA6BE2" w14:paraId="1D7F2BDA" w14:textId="77777777">
            <w:pPr>
              <w:widowControl w:val="0"/>
              <w:rPr>
                <w:rFonts w:eastAsia="Arial" w:asciiTheme="minorHAnsi" w:hAnsiTheme="minorHAnsi" w:cstheme="minorHAnsi"/>
                <w:b w:val="0"/>
                <w:bCs w:val="0"/>
                <w:color w:val="000000"/>
                <w:szCs w:val="24"/>
              </w:rPr>
            </w:pPr>
          </w:p>
          <w:p w:rsidRPr="00174C55" w:rsidR="00EA6BE2" w:rsidP="00EA6BE2" w:rsidRDefault="00EA6BE2" w14:paraId="32C1FE92" w14:textId="77777777">
            <w:pPr>
              <w:spacing w:after="160" w:line="259" w:lineRule="auto"/>
              <w:rPr>
                <w:rFonts w:eastAsia="Arial" w:asciiTheme="minorHAnsi" w:hAnsiTheme="minorHAnsi" w:cstheme="minorHAnsi"/>
                <w:b w:val="0"/>
                <w:bCs w:val="0"/>
                <w:color w:val="000000"/>
                <w:szCs w:val="24"/>
              </w:rPr>
            </w:pPr>
            <w:r w:rsidRPr="00174C55">
              <w:rPr>
                <w:rFonts w:eastAsia="Arial" w:asciiTheme="minorHAnsi" w:hAnsiTheme="minorHAnsi" w:cstheme="minorHAnsi"/>
                <w:b w:val="0"/>
                <w:bCs w:val="0"/>
                <w:color w:val="000000"/>
                <w:szCs w:val="24"/>
              </w:rPr>
              <w:t>Authors, in general support the use of area level indicators where individual level data are not available as the strength and direction of the associations are often found to be comparable</w:t>
            </w:r>
            <w:r w:rsidRPr="00174C55">
              <w:rPr>
                <w:rFonts w:eastAsia="Arial" w:asciiTheme="minorHAnsi" w:hAnsiTheme="minorHAnsi" w:cstheme="minorHAnsi"/>
                <w:b w:val="0"/>
                <w:bCs w:val="0"/>
                <w:color w:val="000000"/>
                <w:szCs w:val="24"/>
                <w:vertAlign w:val="superscript"/>
              </w:rPr>
              <w:t>17-19</w:t>
            </w:r>
            <w:r w:rsidRPr="00174C55">
              <w:rPr>
                <w:rFonts w:eastAsia="Arial" w:asciiTheme="minorHAnsi" w:hAnsiTheme="minorHAnsi" w:cstheme="minorHAnsi"/>
                <w:b w:val="0"/>
                <w:bCs w:val="0"/>
                <w:color w:val="000000"/>
                <w:szCs w:val="24"/>
              </w:rPr>
              <w:t xml:space="preserve">. Despite this there is an acknowledgement that area level variables do not capture </w:t>
            </w:r>
            <w:proofErr w:type="gramStart"/>
            <w:r w:rsidRPr="00174C55">
              <w:rPr>
                <w:rFonts w:eastAsia="Arial" w:asciiTheme="minorHAnsi" w:hAnsiTheme="minorHAnsi" w:cstheme="minorHAnsi"/>
                <w:b w:val="0"/>
                <w:bCs w:val="0"/>
                <w:color w:val="000000"/>
                <w:szCs w:val="24"/>
              </w:rPr>
              <w:t>all of</w:t>
            </w:r>
            <w:proofErr w:type="gramEnd"/>
            <w:r w:rsidRPr="00174C55">
              <w:rPr>
                <w:rFonts w:eastAsia="Arial" w:asciiTheme="minorHAnsi" w:hAnsiTheme="minorHAnsi" w:cstheme="minorHAnsi"/>
                <w:b w:val="0"/>
                <w:bCs w:val="0"/>
                <w:color w:val="000000"/>
                <w:szCs w:val="24"/>
              </w:rPr>
              <w:t xml:space="preserve"> the variability observed and has potential to also underestimate assumptions</w:t>
            </w:r>
            <w:r w:rsidRPr="00174C55">
              <w:rPr>
                <w:rFonts w:eastAsia="Arial" w:asciiTheme="minorHAnsi" w:hAnsiTheme="minorHAnsi" w:cstheme="minorHAnsi"/>
                <w:b w:val="0"/>
                <w:bCs w:val="0"/>
                <w:color w:val="000000"/>
                <w:szCs w:val="24"/>
                <w:vertAlign w:val="superscript"/>
              </w:rPr>
              <w:t>11</w:t>
            </w:r>
            <w:r w:rsidRPr="00174C55">
              <w:rPr>
                <w:rFonts w:eastAsia="Arial" w:asciiTheme="minorHAnsi" w:hAnsiTheme="minorHAnsi" w:cstheme="minorHAnsi"/>
                <w:b w:val="0"/>
                <w:bCs w:val="0"/>
                <w:color w:val="000000"/>
                <w:szCs w:val="24"/>
              </w:rPr>
              <w:t>. If area level data are to be used, most studies supported the use of smaller areas for example census blocks performed better than census tracts in US based census studies</w:t>
            </w:r>
            <w:r w:rsidRPr="00174C55">
              <w:rPr>
                <w:rFonts w:eastAsia="Arial" w:asciiTheme="minorHAnsi" w:hAnsiTheme="minorHAnsi" w:cstheme="minorHAnsi"/>
                <w:b w:val="0"/>
                <w:bCs w:val="0"/>
                <w:color w:val="000000"/>
                <w:szCs w:val="24"/>
                <w:vertAlign w:val="superscript"/>
              </w:rPr>
              <w:t>11</w:t>
            </w:r>
            <w:r w:rsidRPr="00174C55">
              <w:rPr>
                <w:rFonts w:eastAsia="Arial" w:asciiTheme="minorHAnsi" w:hAnsiTheme="minorHAnsi" w:cstheme="minorHAnsi"/>
                <w:b w:val="0"/>
                <w:bCs w:val="0"/>
                <w:color w:val="000000"/>
                <w:szCs w:val="24"/>
              </w:rPr>
              <w:t>.</w:t>
            </w:r>
          </w:p>
          <w:p w:rsidRPr="00174C55" w:rsidR="00EA6BE2" w:rsidP="00EA6BE2" w:rsidRDefault="00EA6BE2" w14:paraId="574FFF9A" w14:textId="77777777">
            <w:pPr>
              <w:spacing w:after="160" w:line="259" w:lineRule="auto"/>
              <w:rPr>
                <w:rFonts w:eastAsia="Arial" w:asciiTheme="minorHAnsi" w:hAnsiTheme="minorHAnsi" w:cstheme="minorHAnsi"/>
                <w:b w:val="0"/>
                <w:bCs w:val="0"/>
                <w:color w:val="000000"/>
                <w:szCs w:val="24"/>
              </w:rPr>
            </w:pPr>
            <w:r w:rsidRPr="00174C55">
              <w:rPr>
                <w:rFonts w:eastAsia="Arial" w:asciiTheme="minorHAnsi" w:hAnsiTheme="minorHAnsi" w:cstheme="minorHAnsi"/>
                <w:b w:val="0"/>
                <w:bCs w:val="0"/>
                <w:color w:val="000000"/>
                <w:szCs w:val="24"/>
              </w:rPr>
              <w:t xml:space="preserve">Determining whether area or individual level factors are best for determining a relationship with certain outcomes is complex and seems to differ depending on the SDH construct that is being investigated and the health outcome. For example, in a study by Mustard et al who assessed proxies for household income and health status, individual level risk factors performed as well as area level risk factors when looking at household income level and average neighbourhood level income level on the outcome of </w:t>
            </w:r>
            <w:r w:rsidRPr="00174C55">
              <w:rPr>
                <w:rFonts w:eastAsia="Arial" w:asciiTheme="minorHAnsi" w:hAnsiTheme="minorHAnsi" w:cstheme="minorHAnsi"/>
                <w:b w:val="0"/>
                <w:bCs w:val="0"/>
                <w:color w:val="000000"/>
                <w:szCs w:val="24"/>
              </w:rPr>
              <w:lastRenderedPageBreak/>
              <w:t>mortality, nursing home admissions, morbidity related care and fertility. However, individual level risk factors performed better when the outcome was disability and mental health problems</w:t>
            </w:r>
            <w:r w:rsidRPr="00174C55">
              <w:rPr>
                <w:rFonts w:eastAsia="Arial" w:asciiTheme="minorHAnsi" w:hAnsiTheme="minorHAnsi" w:cstheme="minorHAnsi"/>
                <w:b w:val="0"/>
                <w:bCs w:val="0"/>
                <w:color w:val="000000"/>
                <w:szCs w:val="24"/>
                <w:vertAlign w:val="superscript"/>
              </w:rPr>
              <w:t>14</w:t>
            </w:r>
            <w:r w:rsidRPr="00174C55">
              <w:rPr>
                <w:rFonts w:eastAsia="Arial" w:asciiTheme="minorHAnsi" w:hAnsiTheme="minorHAnsi" w:cstheme="minorHAnsi"/>
                <w:b w:val="0"/>
                <w:bCs w:val="0"/>
                <w:color w:val="000000"/>
                <w:szCs w:val="24"/>
              </w:rPr>
              <w:t xml:space="preserve">. </w:t>
            </w:r>
          </w:p>
          <w:p w:rsidRPr="00174C55" w:rsidR="00EA6BE2" w:rsidP="00EA6BE2" w:rsidRDefault="00EA6BE2" w14:paraId="330DAB9C" w14:textId="77777777">
            <w:pPr>
              <w:spacing w:after="160" w:line="259" w:lineRule="auto"/>
              <w:rPr>
                <w:rFonts w:asciiTheme="minorHAnsi" w:hAnsiTheme="minorHAnsi" w:cstheme="minorHAnsi"/>
                <w:b w:val="0"/>
                <w:bCs w:val="0"/>
                <w:szCs w:val="24"/>
              </w:rPr>
            </w:pPr>
            <w:r w:rsidRPr="00174C55">
              <w:rPr>
                <w:rFonts w:eastAsia="Arial" w:asciiTheme="minorHAnsi" w:hAnsiTheme="minorHAnsi" w:cstheme="minorHAnsi"/>
                <w:b w:val="0"/>
                <w:bCs w:val="0"/>
                <w:color w:val="000000"/>
                <w:szCs w:val="24"/>
              </w:rPr>
              <w:t xml:space="preserve">Individual level indicators also performed better in a study analysing the outcomes of life-expectancy and disability-free life expectancy. Associations for individual level factors were stronger than area level risk factors, for </w:t>
            </w:r>
            <w:proofErr w:type="gramStart"/>
            <w:r w:rsidRPr="00174C55">
              <w:rPr>
                <w:rFonts w:eastAsia="Arial" w:asciiTheme="minorHAnsi" w:hAnsiTheme="minorHAnsi" w:cstheme="minorHAnsi"/>
                <w:b w:val="0"/>
                <w:bCs w:val="0"/>
                <w:color w:val="000000"/>
                <w:szCs w:val="24"/>
              </w:rPr>
              <w:t>example;</w:t>
            </w:r>
            <w:proofErr w:type="gramEnd"/>
            <w:r w:rsidRPr="00174C55">
              <w:rPr>
                <w:rFonts w:eastAsia="Arial" w:asciiTheme="minorHAnsi" w:hAnsiTheme="minorHAnsi" w:cstheme="minorHAnsi"/>
                <w:b w:val="0"/>
                <w:bCs w:val="0"/>
                <w:color w:val="000000"/>
                <w:szCs w:val="24"/>
              </w:rPr>
              <w:t xml:space="preserve"> </w:t>
            </w:r>
            <w:r w:rsidRPr="00174C55">
              <w:rPr>
                <w:rFonts w:asciiTheme="minorHAnsi" w:hAnsiTheme="minorHAnsi" w:cstheme="minorHAnsi"/>
                <w:b w:val="0"/>
                <w:bCs w:val="0"/>
                <w:szCs w:val="24"/>
              </w:rPr>
              <w:t xml:space="preserve">no high school diploma, employment, income, being widowed, separated or divorced living alone and being in a one-parent family). </w:t>
            </w:r>
            <w:proofErr w:type="gramStart"/>
            <w:r w:rsidRPr="00174C55">
              <w:rPr>
                <w:rFonts w:asciiTheme="minorHAnsi" w:hAnsiTheme="minorHAnsi" w:cstheme="minorHAnsi"/>
                <w:b w:val="0"/>
                <w:bCs w:val="0"/>
                <w:szCs w:val="24"/>
              </w:rPr>
              <w:t>However</w:t>
            </w:r>
            <w:proofErr w:type="gramEnd"/>
            <w:r w:rsidRPr="00174C55">
              <w:rPr>
                <w:rFonts w:asciiTheme="minorHAnsi" w:hAnsiTheme="minorHAnsi" w:cstheme="minorHAnsi"/>
                <w:b w:val="0"/>
                <w:bCs w:val="0"/>
                <w:szCs w:val="24"/>
              </w:rPr>
              <w:t xml:space="preserve"> the direction of association was the same for area level variables and the results were statistically reliable and so the authors concluded that area level indicators were a suitable alternative in the absence of individual level indicators</w:t>
            </w:r>
            <w:r w:rsidRPr="00174C55">
              <w:rPr>
                <w:rFonts w:asciiTheme="minorHAnsi" w:hAnsiTheme="minorHAnsi" w:cstheme="minorHAnsi"/>
                <w:b w:val="0"/>
                <w:bCs w:val="0"/>
                <w:szCs w:val="24"/>
                <w:vertAlign w:val="superscript"/>
              </w:rPr>
              <w:t>13</w:t>
            </w:r>
            <w:r w:rsidRPr="00174C55">
              <w:rPr>
                <w:rFonts w:asciiTheme="minorHAnsi" w:hAnsiTheme="minorHAnsi" w:cstheme="minorHAnsi"/>
                <w:b w:val="0"/>
                <w:bCs w:val="0"/>
                <w:szCs w:val="24"/>
              </w:rPr>
              <w:t xml:space="preserve">. Area level indicators were found to under-estimate disadvantage-based life expectancy more for women than men. </w:t>
            </w:r>
          </w:p>
          <w:p w:rsidRPr="00174C55" w:rsidR="00EA6BE2" w:rsidP="00EA6BE2" w:rsidRDefault="00EA6BE2" w14:paraId="2E7D5265" w14:textId="77777777">
            <w:pPr>
              <w:spacing w:after="160" w:line="259" w:lineRule="auto"/>
              <w:rPr>
                <w:rFonts w:eastAsia="Arial" w:asciiTheme="minorHAnsi" w:hAnsiTheme="minorHAnsi" w:cstheme="minorHAnsi"/>
                <w:b w:val="0"/>
                <w:bCs w:val="0"/>
                <w:color w:val="000000"/>
                <w:szCs w:val="24"/>
              </w:rPr>
            </w:pPr>
            <w:r w:rsidRPr="00174C55">
              <w:rPr>
                <w:rFonts w:asciiTheme="minorHAnsi" w:hAnsiTheme="minorHAnsi" w:cstheme="minorHAnsi"/>
                <w:b w:val="0"/>
                <w:bCs w:val="0"/>
                <w:szCs w:val="24"/>
              </w:rPr>
              <w:t xml:space="preserve">There were some studies where area level factors performed better, particularly </w:t>
            </w:r>
            <w:proofErr w:type="gramStart"/>
            <w:r w:rsidRPr="00174C55">
              <w:rPr>
                <w:rFonts w:asciiTheme="minorHAnsi" w:hAnsiTheme="minorHAnsi" w:cstheme="minorHAnsi"/>
                <w:b w:val="0"/>
                <w:bCs w:val="0"/>
                <w:szCs w:val="24"/>
              </w:rPr>
              <w:t>with regard to</w:t>
            </w:r>
            <w:proofErr w:type="gramEnd"/>
            <w:r w:rsidRPr="00174C55">
              <w:rPr>
                <w:rFonts w:asciiTheme="minorHAnsi" w:hAnsiTheme="minorHAnsi" w:cstheme="minorHAnsi"/>
                <w:b w:val="0"/>
                <w:bCs w:val="0"/>
                <w:szCs w:val="24"/>
              </w:rPr>
              <w:t xml:space="preserve"> education variables in younger and older populations</w:t>
            </w:r>
            <w:r w:rsidRPr="00174C55">
              <w:rPr>
                <w:rFonts w:asciiTheme="minorHAnsi" w:hAnsiTheme="minorHAnsi" w:cstheme="minorHAnsi"/>
                <w:b w:val="0"/>
                <w:bCs w:val="0"/>
                <w:szCs w:val="24"/>
                <w:vertAlign w:val="superscript"/>
              </w:rPr>
              <w:t>17-18</w:t>
            </w:r>
            <w:r w:rsidRPr="00174C55">
              <w:rPr>
                <w:rFonts w:asciiTheme="minorHAnsi" w:hAnsiTheme="minorHAnsi" w:cstheme="minorHAnsi"/>
                <w:b w:val="0"/>
                <w:bCs w:val="0"/>
                <w:szCs w:val="24"/>
              </w:rPr>
              <w:t>. There may therefore be instances depending on the SDH domain being investigated or the health outcome, where area or individual level factors are better suited. Area level factors seem to perform less well where race and income are concerned</w:t>
            </w:r>
            <w:r w:rsidRPr="00174C55">
              <w:rPr>
                <w:rFonts w:asciiTheme="minorHAnsi" w:hAnsiTheme="minorHAnsi" w:cstheme="minorHAnsi"/>
                <w:b w:val="0"/>
                <w:bCs w:val="0"/>
                <w:szCs w:val="24"/>
                <w:vertAlign w:val="superscript"/>
              </w:rPr>
              <w:t>13,19</w:t>
            </w:r>
            <w:r w:rsidRPr="00174C55">
              <w:rPr>
                <w:rFonts w:asciiTheme="minorHAnsi" w:hAnsiTheme="minorHAnsi" w:cstheme="minorHAnsi"/>
                <w:b w:val="0"/>
                <w:bCs w:val="0"/>
                <w:szCs w:val="24"/>
              </w:rPr>
              <w:t xml:space="preserve"> and when covering non-urban areas due to the increased heterogeneity of people in these areas</w:t>
            </w:r>
            <w:r w:rsidRPr="00174C55">
              <w:rPr>
                <w:rFonts w:asciiTheme="minorHAnsi" w:hAnsiTheme="minorHAnsi" w:cstheme="minorHAnsi"/>
                <w:b w:val="0"/>
                <w:bCs w:val="0"/>
                <w:szCs w:val="24"/>
                <w:vertAlign w:val="superscript"/>
              </w:rPr>
              <w:t>20</w:t>
            </w:r>
            <w:r w:rsidRPr="00174C55">
              <w:rPr>
                <w:rFonts w:asciiTheme="minorHAnsi" w:hAnsiTheme="minorHAnsi" w:cstheme="minorHAnsi"/>
                <w:b w:val="0"/>
                <w:bCs w:val="0"/>
                <w:szCs w:val="24"/>
              </w:rPr>
              <w:t xml:space="preserve">. </w:t>
            </w:r>
          </w:p>
          <w:p w:rsidRPr="00174C55" w:rsidR="00EA6BE2" w:rsidP="00EA6BE2" w:rsidRDefault="00EA6BE2" w14:paraId="18CEB48D" w14:textId="77777777">
            <w:pPr>
              <w:rPr>
                <w:rFonts w:eastAsia="Arial" w:asciiTheme="minorHAnsi" w:hAnsiTheme="minorHAnsi" w:cstheme="minorHAnsi"/>
                <w:b w:val="0"/>
                <w:bCs w:val="0"/>
                <w:color w:val="000000"/>
                <w:szCs w:val="24"/>
              </w:rPr>
            </w:pPr>
            <w:r w:rsidRPr="00174C55">
              <w:rPr>
                <w:rFonts w:eastAsia="Arial" w:asciiTheme="minorHAnsi" w:hAnsiTheme="minorHAnsi" w:cstheme="minorHAnsi"/>
                <w:b w:val="0"/>
                <w:bCs w:val="0"/>
                <w:color w:val="000000"/>
                <w:szCs w:val="24"/>
              </w:rPr>
              <w:t xml:space="preserve">In summary, evidence is conflicting as to whether area or individual level factors on social determinants of health perform better when looking at associations with certain health outcomes. There is a suggestion from the literature that the choice of individual or area level indicators is dependent on </w:t>
            </w:r>
            <w:proofErr w:type="gramStart"/>
            <w:r w:rsidRPr="00174C55">
              <w:rPr>
                <w:rFonts w:eastAsia="Arial" w:asciiTheme="minorHAnsi" w:hAnsiTheme="minorHAnsi" w:cstheme="minorHAnsi"/>
                <w:b w:val="0"/>
                <w:bCs w:val="0"/>
                <w:color w:val="000000"/>
                <w:szCs w:val="24"/>
              </w:rPr>
              <w:t>particular SDH</w:t>
            </w:r>
            <w:proofErr w:type="gramEnd"/>
            <w:r w:rsidRPr="00174C55">
              <w:rPr>
                <w:rFonts w:eastAsia="Arial" w:asciiTheme="minorHAnsi" w:hAnsiTheme="minorHAnsi" w:cstheme="minorHAnsi"/>
                <w:b w:val="0"/>
                <w:bCs w:val="0"/>
                <w:color w:val="000000"/>
                <w:szCs w:val="24"/>
              </w:rPr>
              <w:t xml:space="preserve"> constructs or the health outcome being investigated. Understanding which indicators are best used will ensure that information gathered going forward on health inequalities accurately describe a population and their risk. Understanding when individual level factors should be collected, particularly within the context of managing patients in primary care will ensure that care and management is targeted to the individual and those that are at risk of certain disease outcomes due to health inequalities are quickly identified. Furthermore, joining up existing datasets where social determinants of health are already collected with the primary care health record will help increase the information available to clinicians on those at risk from health inequalities. </w:t>
            </w:r>
          </w:p>
          <w:p w:rsidRPr="00174C55" w:rsidR="00EA6BE2" w:rsidP="00EA6BE2" w:rsidRDefault="00EA6BE2" w14:paraId="4CF1401E" w14:textId="77777777">
            <w:pPr>
              <w:spacing w:after="160" w:line="259" w:lineRule="auto"/>
              <w:rPr>
                <w:rFonts w:asciiTheme="minorHAnsi" w:hAnsiTheme="minorHAnsi" w:cstheme="minorHAnsi"/>
                <w:b w:val="0"/>
                <w:bCs w:val="0"/>
                <w:szCs w:val="24"/>
              </w:rPr>
            </w:pPr>
          </w:p>
          <w:p w:rsidRPr="00174C55" w:rsidR="00EA6BE2" w:rsidP="00EA6BE2" w:rsidRDefault="00EA6BE2" w14:paraId="5E358FE5" w14:textId="77777777">
            <w:pPr>
              <w:spacing w:after="160" w:line="259" w:lineRule="auto"/>
              <w:rPr>
                <w:rFonts w:asciiTheme="minorHAnsi" w:hAnsiTheme="minorHAnsi" w:cstheme="minorHAnsi"/>
                <w:szCs w:val="24"/>
              </w:rPr>
            </w:pPr>
            <w:r w:rsidRPr="00174C55">
              <w:rPr>
                <w:rFonts w:asciiTheme="minorHAnsi" w:hAnsiTheme="minorHAnsi" w:cstheme="minorHAnsi"/>
                <w:szCs w:val="24"/>
              </w:rPr>
              <w:t>Overall aim:</w:t>
            </w:r>
          </w:p>
          <w:p w:rsidRPr="00174C55" w:rsidR="00EA6BE2" w:rsidP="00EA6BE2" w:rsidRDefault="00EA6BE2" w14:paraId="47DE2B98" w14:textId="77777777">
            <w:pPr>
              <w:rPr>
                <w:rFonts w:asciiTheme="minorHAnsi" w:hAnsiTheme="minorHAnsi" w:cstheme="minorHAnsi"/>
                <w:b w:val="0"/>
                <w:bCs w:val="0"/>
                <w:szCs w:val="24"/>
              </w:rPr>
            </w:pPr>
            <w:r w:rsidRPr="00174C55">
              <w:rPr>
                <w:rFonts w:asciiTheme="minorHAnsi" w:hAnsiTheme="minorHAnsi" w:cstheme="minorHAnsi"/>
                <w:b w:val="0"/>
                <w:bCs w:val="0"/>
                <w:szCs w:val="24"/>
              </w:rPr>
              <w:t xml:space="preserve">This project will aim to understand whether individual level or household data performs better at predicting outcomes linked to social determinants of health (SDH) compared to neighbourhood or area level data. It will also explore the scope for joining up community databases that contain this information to the electronic primary care health record </w:t>
            </w:r>
            <w:proofErr w:type="gramStart"/>
            <w:r w:rsidRPr="00174C55">
              <w:rPr>
                <w:rFonts w:asciiTheme="minorHAnsi" w:hAnsiTheme="minorHAnsi" w:cstheme="minorHAnsi"/>
                <w:b w:val="0"/>
                <w:bCs w:val="0"/>
                <w:szCs w:val="24"/>
              </w:rPr>
              <w:t>in order to</w:t>
            </w:r>
            <w:proofErr w:type="gramEnd"/>
            <w:r w:rsidRPr="00174C55">
              <w:rPr>
                <w:rFonts w:asciiTheme="minorHAnsi" w:hAnsiTheme="minorHAnsi" w:cstheme="minorHAnsi"/>
                <w:b w:val="0"/>
                <w:bCs w:val="0"/>
                <w:szCs w:val="24"/>
              </w:rPr>
              <w:t xml:space="preserve"> improve the information available to clinicians on social determinants of health. </w:t>
            </w:r>
          </w:p>
          <w:p w:rsidRPr="00174C55" w:rsidR="00EA6BE2" w:rsidP="00EA6BE2" w:rsidRDefault="00EA6BE2" w14:paraId="313B332C" w14:textId="77777777">
            <w:pPr>
              <w:rPr>
                <w:rFonts w:asciiTheme="minorHAnsi" w:hAnsiTheme="minorHAnsi" w:cstheme="minorHAnsi"/>
                <w:b w:val="0"/>
                <w:bCs w:val="0"/>
                <w:szCs w:val="24"/>
              </w:rPr>
            </w:pPr>
          </w:p>
          <w:p w:rsidRPr="00174C55" w:rsidR="00EA6BE2" w:rsidP="00EA6BE2" w:rsidRDefault="00EA6BE2" w14:paraId="4726E75D" w14:textId="77777777">
            <w:pPr>
              <w:spacing w:after="160" w:line="259" w:lineRule="auto"/>
              <w:rPr>
                <w:rFonts w:asciiTheme="minorHAnsi" w:hAnsiTheme="minorHAnsi" w:cstheme="minorHAnsi"/>
                <w:szCs w:val="24"/>
              </w:rPr>
            </w:pPr>
            <w:r w:rsidRPr="00174C55">
              <w:rPr>
                <w:rFonts w:asciiTheme="minorHAnsi" w:hAnsiTheme="minorHAnsi" w:cstheme="minorHAnsi"/>
                <w:szCs w:val="24"/>
              </w:rPr>
              <w:t>Specific Objectives:</w:t>
            </w:r>
          </w:p>
          <w:p w:rsidRPr="00174C55" w:rsidR="00EA6BE2" w:rsidP="00EA6BE2" w:rsidRDefault="00EA6BE2" w14:paraId="3A86C675" w14:textId="77777777">
            <w:pPr>
              <w:rPr>
                <w:rFonts w:asciiTheme="minorHAnsi" w:hAnsiTheme="minorHAnsi" w:cstheme="minorHAnsi"/>
                <w:b w:val="0"/>
                <w:bCs w:val="0"/>
                <w:szCs w:val="24"/>
              </w:rPr>
            </w:pPr>
            <w:r w:rsidRPr="00174C55">
              <w:rPr>
                <w:rFonts w:asciiTheme="minorHAnsi" w:hAnsiTheme="minorHAnsi" w:cstheme="minorHAnsi"/>
                <w:b w:val="0"/>
                <w:bCs w:val="0"/>
                <w:szCs w:val="24"/>
              </w:rPr>
              <w:t xml:space="preserve">1. To design and conduct a review and synthesis of existing evidence that has compared the performance of individual level or household data and area level data on social determinants of health on outcomes for example, unplanned hospital admissions and unscheduled care </w:t>
            </w:r>
          </w:p>
          <w:p w:rsidRPr="00174C55" w:rsidR="00EA6BE2" w:rsidP="00EA6BE2" w:rsidRDefault="00EA6BE2" w14:paraId="5F785104" w14:textId="77777777">
            <w:pPr>
              <w:rPr>
                <w:rFonts w:asciiTheme="minorHAnsi" w:hAnsiTheme="minorHAnsi" w:cstheme="minorHAnsi"/>
                <w:b w:val="0"/>
                <w:bCs w:val="0"/>
                <w:szCs w:val="24"/>
              </w:rPr>
            </w:pPr>
            <w:r w:rsidRPr="00174C55">
              <w:rPr>
                <w:rFonts w:asciiTheme="minorHAnsi" w:hAnsiTheme="minorHAnsi" w:cstheme="minorHAnsi"/>
                <w:b w:val="0"/>
                <w:bCs w:val="0"/>
                <w:szCs w:val="24"/>
              </w:rPr>
              <w:t>2. To conduct a population survey in the underlying musculoskeletal population, and collect information on both area-level and individual-level social determinants, alongside general heath (</w:t>
            </w:r>
            <w:proofErr w:type="gramStart"/>
            <w:r w:rsidRPr="00174C55">
              <w:rPr>
                <w:rFonts w:asciiTheme="minorHAnsi" w:hAnsiTheme="minorHAnsi" w:cstheme="minorHAnsi"/>
                <w:b w:val="0"/>
                <w:bCs w:val="0"/>
                <w:szCs w:val="24"/>
              </w:rPr>
              <w:t>i.e.</w:t>
            </w:r>
            <w:proofErr w:type="gramEnd"/>
            <w:r w:rsidRPr="00174C55">
              <w:rPr>
                <w:rFonts w:asciiTheme="minorHAnsi" w:hAnsiTheme="minorHAnsi" w:cstheme="minorHAnsi"/>
                <w:b w:val="0"/>
                <w:bCs w:val="0"/>
                <w:szCs w:val="24"/>
              </w:rPr>
              <w:t xml:space="preserve"> EQ-5D) and musculoskeletal health indicators (i.e. MSK-HQ);</w:t>
            </w:r>
          </w:p>
          <w:p w:rsidRPr="00174C55" w:rsidR="00EA6BE2" w:rsidP="00EA6BE2" w:rsidRDefault="00EA6BE2" w14:paraId="25C8F07B" w14:textId="77777777">
            <w:pPr>
              <w:rPr>
                <w:rFonts w:asciiTheme="minorHAnsi" w:hAnsiTheme="minorHAnsi" w:cstheme="minorHAnsi"/>
                <w:b w:val="0"/>
                <w:bCs w:val="0"/>
                <w:szCs w:val="24"/>
              </w:rPr>
            </w:pPr>
            <w:r w:rsidRPr="00174C55">
              <w:rPr>
                <w:rFonts w:asciiTheme="minorHAnsi" w:hAnsiTheme="minorHAnsi" w:cstheme="minorHAnsi"/>
                <w:b w:val="0"/>
                <w:bCs w:val="0"/>
                <w:szCs w:val="24"/>
              </w:rPr>
              <w:t>3. To derive multilevel models incorporating area-level and individual-level social determinants separately, and compare the predicting capacity on population-level mean of general health indicators and musculoskeletal health indicators in a small-area (practice, PCN, CCG, or LSO/MSOA</w:t>
            </w:r>
            <w:proofErr w:type="gramStart"/>
            <w:r w:rsidRPr="00174C55">
              <w:rPr>
                <w:rFonts w:asciiTheme="minorHAnsi" w:hAnsiTheme="minorHAnsi" w:cstheme="minorHAnsi"/>
                <w:b w:val="0"/>
                <w:bCs w:val="0"/>
                <w:szCs w:val="24"/>
              </w:rPr>
              <w:t>) ;</w:t>
            </w:r>
            <w:proofErr w:type="gramEnd"/>
          </w:p>
          <w:p w:rsidRPr="00174C55" w:rsidR="00EA6BE2" w:rsidP="00EA6BE2" w:rsidRDefault="00EA6BE2" w14:paraId="28BE52FC" w14:textId="77777777">
            <w:pPr>
              <w:rPr>
                <w:rFonts w:asciiTheme="minorHAnsi" w:hAnsiTheme="minorHAnsi" w:cstheme="minorHAnsi"/>
                <w:b w:val="0"/>
                <w:bCs w:val="0"/>
                <w:szCs w:val="24"/>
              </w:rPr>
            </w:pPr>
            <w:r w:rsidRPr="00174C55">
              <w:rPr>
                <w:rFonts w:asciiTheme="minorHAnsi" w:hAnsiTheme="minorHAnsi" w:cstheme="minorHAnsi"/>
                <w:b w:val="0"/>
                <w:bCs w:val="0"/>
                <w:szCs w:val="24"/>
              </w:rPr>
              <w:lastRenderedPageBreak/>
              <w:t xml:space="preserve">4. To produce data visualisation (map) of the general health indicators and musculoskeletal health indicators with local distribution based on the models with the most predictable social </w:t>
            </w:r>
            <w:proofErr w:type="gramStart"/>
            <w:r w:rsidRPr="00174C55">
              <w:rPr>
                <w:rFonts w:asciiTheme="minorHAnsi" w:hAnsiTheme="minorHAnsi" w:cstheme="minorHAnsi"/>
                <w:b w:val="0"/>
                <w:bCs w:val="0"/>
                <w:szCs w:val="24"/>
              </w:rPr>
              <w:t>determinant;</w:t>
            </w:r>
            <w:proofErr w:type="gramEnd"/>
          </w:p>
          <w:p w:rsidRPr="00174C55" w:rsidR="00EA6BE2" w:rsidP="00EA6BE2" w:rsidRDefault="00EA6BE2" w14:paraId="28825F25" w14:textId="77777777">
            <w:pPr>
              <w:rPr>
                <w:rFonts w:asciiTheme="minorHAnsi" w:hAnsiTheme="minorHAnsi" w:cstheme="minorHAnsi"/>
                <w:b w:val="0"/>
                <w:bCs w:val="0"/>
                <w:szCs w:val="24"/>
              </w:rPr>
            </w:pPr>
            <w:r w:rsidRPr="00174C55">
              <w:rPr>
                <w:rFonts w:asciiTheme="minorHAnsi" w:hAnsiTheme="minorHAnsi" w:cstheme="minorHAnsi"/>
                <w:b w:val="0"/>
                <w:bCs w:val="0"/>
                <w:szCs w:val="24"/>
              </w:rPr>
              <w:t>4. To link the survey data with local primary care electronic health record (EHR) data, collecting routinely recorded patients’ characteristics (ethnicity, comorbidity, et al) with primary care recorded health indicators (</w:t>
            </w:r>
            <w:proofErr w:type="gramStart"/>
            <w:r w:rsidRPr="00174C55">
              <w:rPr>
                <w:rFonts w:asciiTheme="minorHAnsi" w:hAnsiTheme="minorHAnsi" w:cstheme="minorHAnsi"/>
                <w:b w:val="0"/>
                <w:bCs w:val="0"/>
                <w:szCs w:val="24"/>
              </w:rPr>
              <w:t>i.e.</w:t>
            </w:r>
            <w:proofErr w:type="gramEnd"/>
            <w:r w:rsidRPr="00174C55">
              <w:rPr>
                <w:rFonts w:asciiTheme="minorHAnsi" w:hAnsiTheme="minorHAnsi" w:cstheme="minorHAnsi"/>
                <w:b w:val="0"/>
                <w:bCs w:val="0"/>
                <w:szCs w:val="24"/>
              </w:rPr>
              <w:t xml:space="preserve"> consultation on back pain, osteoarthritis, and other musculoskeletal disorders);</w:t>
            </w:r>
          </w:p>
          <w:p w:rsidRPr="00174C55" w:rsidR="00EA6BE2" w:rsidP="00EA6BE2" w:rsidRDefault="00EA6BE2" w14:paraId="2C88E0DD" w14:textId="77777777">
            <w:pPr>
              <w:rPr>
                <w:rFonts w:asciiTheme="minorHAnsi" w:hAnsiTheme="minorHAnsi" w:cstheme="minorHAnsi"/>
                <w:b w:val="0"/>
                <w:bCs w:val="0"/>
                <w:szCs w:val="24"/>
              </w:rPr>
            </w:pPr>
            <w:r w:rsidRPr="00174C55">
              <w:rPr>
                <w:rFonts w:asciiTheme="minorHAnsi" w:hAnsiTheme="minorHAnsi" w:cstheme="minorHAnsi"/>
                <w:b w:val="0"/>
                <w:bCs w:val="0"/>
                <w:szCs w:val="24"/>
              </w:rPr>
              <w:t xml:space="preserve">5. To compare the neighbourhood-level and individual-level social determinant in the prediction of primary care recorded health indicators, with incorporation of more EHR </w:t>
            </w:r>
            <w:proofErr w:type="gramStart"/>
            <w:r w:rsidRPr="00174C55">
              <w:rPr>
                <w:rFonts w:asciiTheme="minorHAnsi" w:hAnsiTheme="minorHAnsi" w:cstheme="minorHAnsi"/>
                <w:b w:val="0"/>
                <w:bCs w:val="0"/>
                <w:szCs w:val="24"/>
              </w:rPr>
              <w:t>covariates;</w:t>
            </w:r>
            <w:proofErr w:type="gramEnd"/>
          </w:p>
          <w:p w:rsidRPr="00174C55" w:rsidR="00EA6BE2" w:rsidP="00EA6BE2" w:rsidRDefault="00EA6BE2" w14:paraId="1A2750A2" w14:textId="77777777">
            <w:pPr>
              <w:rPr>
                <w:rFonts w:asciiTheme="minorHAnsi" w:hAnsiTheme="minorHAnsi" w:cstheme="minorHAnsi"/>
                <w:b w:val="0"/>
                <w:bCs w:val="0"/>
                <w:szCs w:val="24"/>
              </w:rPr>
            </w:pPr>
            <w:r w:rsidRPr="00174C55">
              <w:rPr>
                <w:rFonts w:asciiTheme="minorHAnsi" w:hAnsiTheme="minorHAnsi" w:cstheme="minorHAnsi"/>
                <w:b w:val="0"/>
                <w:bCs w:val="0"/>
                <w:szCs w:val="24"/>
              </w:rPr>
              <w:t>3. Explore the potential for linkage of data on SDH collected by other health professionals and services, for example, health visitor and midwifery databases. Create scalable methods to link different data sources using the Wolverhampton population as an example.</w:t>
            </w:r>
          </w:p>
          <w:p w:rsidRPr="00174C55" w:rsidR="00EA6BE2" w:rsidP="00EA6BE2" w:rsidRDefault="00EA6BE2" w14:paraId="714D223A" w14:textId="77777777">
            <w:pPr>
              <w:rPr>
                <w:rFonts w:asciiTheme="minorHAnsi" w:hAnsiTheme="minorHAnsi" w:cstheme="minorHAnsi"/>
                <w:b w:val="0"/>
                <w:bCs w:val="0"/>
                <w:szCs w:val="24"/>
              </w:rPr>
            </w:pPr>
          </w:p>
          <w:p w:rsidRPr="00174C55" w:rsidR="00EA6BE2" w:rsidP="00EA6BE2" w:rsidRDefault="00EA6BE2" w14:paraId="372700EF" w14:textId="77777777">
            <w:pPr>
              <w:spacing w:after="160" w:line="259" w:lineRule="auto"/>
              <w:rPr>
                <w:rFonts w:asciiTheme="minorHAnsi" w:hAnsiTheme="minorHAnsi" w:cstheme="minorHAnsi"/>
                <w:b w:val="0"/>
                <w:bCs w:val="0"/>
                <w:szCs w:val="24"/>
                <w:u w:val="single"/>
              </w:rPr>
            </w:pPr>
          </w:p>
          <w:p w:rsidRPr="00174C55" w:rsidR="00EA6BE2" w:rsidP="00EA6BE2" w:rsidRDefault="00EA6BE2" w14:paraId="6E5BA005" w14:textId="77777777">
            <w:pPr>
              <w:spacing w:after="160" w:line="259" w:lineRule="auto"/>
              <w:rPr>
                <w:rFonts w:asciiTheme="minorHAnsi" w:hAnsiTheme="minorHAnsi" w:cstheme="minorHAnsi"/>
                <w:szCs w:val="24"/>
              </w:rPr>
            </w:pPr>
            <w:r w:rsidRPr="00174C55">
              <w:rPr>
                <w:rFonts w:asciiTheme="minorHAnsi" w:hAnsiTheme="minorHAnsi" w:cstheme="minorHAnsi"/>
                <w:szCs w:val="24"/>
              </w:rPr>
              <w:t>Methods</w:t>
            </w:r>
          </w:p>
          <w:p w:rsidRPr="00174C55" w:rsidR="00EA6BE2" w:rsidP="00EA6BE2" w:rsidRDefault="00EA6BE2" w14:paraId="4C16DFCB" w14:textId="77777777">
            <w:pPr>
              <w:spacing w:after="160" w:line="259" w:lineRule="auto"/>
              <w:rPr>
                <w:rFonts w:asciiTheme="minorHAnsi" w:hAnsiTheme="minorHAnsi" w:cstheme="minorHAnsi"/>
                <w:b w:val="0"/>
                <w:bCs w:val="0"/>
                <w:i/>
                <w:iCs/>
                <w:szCs w:val="24"/>
              </w:rPr>
            </w:pPr>
            <w:r w:rsidRPr="00174C55">
              <w:rPr>
                <w:rFonts w:asciiTheme="minorHAnsi" w:hAnsiTheme="minorHAnsi" w:cstheme="minorHAnsi"/>
                <w:b w:val="0"/>
                <w:bCs w:val="0"/>
                <w:szCs w:val="24"/>
              </w:rPr>
              <w:t xml:space="preserve">Study 1: </w:t>
            </w:r>
            <w:r w:rsidRPr="00174C55">
              <w:rPr>
                <w:rFonts w:asciiTheme="minorHAnsi" w:hAnsiTheme="minorHAnsi" w:cstheme="minorHAnsi"/>
                <w:b w:val="0"/>
                <w:bCs w:val="0"/>
                <w:i/>
                <w:iCs/>
                <w:szCs w:val="24"/>
              </w:rPr>
              <w:t>Comparison of area level and individual risk factors of social determinants of health as measures of health outcomes; a systematic review (Objective 1)</w:t>
            </w:r>
          </w:p>
          <w:p w:rsidRPr="00174C55" w:rsidR="00EA6BE2" w:rsidP="00EA6BE2" w:rsidRDefault="00EA6BE2" w14:paraId="249451E1" w14:textId="77777777">
            <w:p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t>A systematic review will be designed and registered on PROSPERO with the purpose of comparing the performance of area level and individual indicators of the social determinants of health and certain health outcomes as described in the literature. The results will also be used to explore if area or individual level indicators perform better for certain predictors for example, to determine if area level information on education is better than individual level data when looking at health outcomes as reported in the literature, for example unplanned Emergency Department attendance. The student will identify further gaps to be addressed within subsequent analysis of this thesis. In parallel they will gain an understanding of multi-level linear modelling</w:t>
            </w:r>
            <w:r w:rsidRPr="00174C55">
              <w:rPr>
                <w:rFonts w:asciiTheme="minorHAnsi" w:hAnsiTheme="minorHAnsi" w:cstheme="minorHAnsi"/>
                <w:b w:val="0"/>
                <w:bCs w:val="0"/>
                <w:szCs w:val="24"/>
                <w:vertAlign w:val="superscript"/>
              </w:rPr>
              <w:t>21</w:t>
            </w:r>
            <w:r w:rsidRPr="00174C55">
              <w:rPr>
                <w:rFonts w:asciiTheme="minorHAnsi" w:hAnsiTheme="minorHAnsi" w:cstheme="minorHAnsi"/>
                <w:b w:val="0"/>
                <w:bCs w:val="0"/>
                <w:szCs w:val="24"/>
              </w:rPr>
              <w:t>.</w:t>
            </w:r>
          </w:p>
          <w:p w:rsidRPr="00174C55" w:rsidR="00EA6BE2" w:rsidP="00EA6BE2" w:rsidRDefault="00EA6BE2" w14:paraId="6915E420" w14:textId="77777777">
            <w:pPr>
              <w:spacing w:after="160" w:line="259" w:lineRule="auto"/>
              <w:rPr>
                <w:rFonts w:asciiTheme="minorHAnsi" w:hAnsiTheme="minorHAnsi" w:cstheme="minorHAnsi"/>
                <w:b w:val="0"/>
                <w:bCs w:val="0"/>
                <w:szCs w:val="24"/>
              </w:rPr>
            </w:pPr>
          </w:p>
          <w:p w:rsidRPr="00174C55" w:rsidR="00EA6BE2" w:rsidP="00EA6BE2" w:rsidRDefault="00EA6BE2" w14:paraId="07DD9318" w14:textId="77777777">
            <w:p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t xml:space="preserve">Study 2: </w:t>
            </w:r>
            <w:r w:rsidRPr="00174C55">
              <w:rPr>
                <w:rFonts w:asciiTheme="minorHAnsi" w:hAnsiTheme="minorHAnsi" w:cstheme="minorHAnsi"/>
                <w:b w:val="0"/>
                <w:bCs w:val="0"/>
                <w:i/>
                <w:iCs/>
                <w:szCs w:val="24"/>
              </w:rPr>
              <w:t>Comparison of area level and individual level indicators of social determinants in predicting population-level general health and musculoskeletal health in a small-area (Objective 2)</w:t>
            </w:r>
          </w:p>
          <w:p w:rsidRPr="00174C55" w:rsidR="00EA6BE2" w:rsidP="00EA6BE2" w:rsidRDefault="00EA6BE2" w14:paraId="5A60AFAC" w14:textId="77777777">
            <w:p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t xml:space="preserve">Data: A population-level survey in the underlying musculoskeletal (disorder) population within the MIDAS study </w:t>
            </w:r>
          </w:p>
          <w:p w:rsidRPr="00174C55" w:rsidR="00EA6BE2" w:rsidP="00EA6BE2" w:rsidRDefault="00EA6BE2" w14:paraId="4A403CEA" w14:textId="77777777">
            <w:p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t xml:space="preserve">Based on findings from the systematic review and discussions with the supervisory team, PPIE group and collaborators the student will need </w:t>
            </w:r>
            <w:proofErr w:type="gramStart"/>
            <w:r w:rsidRPr="00174C55">
              <w:rPr>
                <w:rFonts w:asciiTheme="minorHAnsi" w:hAnsiTheme="minorHAnsi" w:cstheme="minorHAnsi"/>
                <w:b w:val="0"/>
                <w:bCs w:val="0"/>
                <w:szCs w:val="24"/>
              </w:rPr>
              <w:t>to;</w:t>
            </w:r>
            <w:proofErr w:type="gramEnd"/>
          </w:p>
          <w:p w:rsidRPr="00174C55" w:rsidR="00EA6BE2" w:rsidP="00EA6BE2" w:rsidRDefault="00EA6BE2" w14:paraId="1D6DB846" w14:textId="77777777">
            <w:pPr>
              <w:numPr>
                <w:ilvl w:val="0"/>
                <w:numId w:val="4"/>
              </w:num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t>Identify individual level variables of social determinants collected within the MIDAS population survey to measure</w:t>
            </w:r>
          </w:p>
          <w:p w:rsidRPr="00174C55" w:rsidR="00EA6BE2" w:rsidP="00EA6BE2" w:rsidRDefault="00EA6BE2" w14:paraId="1543120D" w14:textId="77777777">
            <w:pPr>
              <w:numPr>
                <w:ilvl w:val="0"/>
                <w:numId w:val="4"/>
              </w:num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t>Identify area level variables for the participants from MIDAS population survey</w:t>
            </w:r>
          </w:p>
          <w:p w:rsidRPr="00174C55" w:rsidR="00EA6BE2" w:rsidP="00EA6BE2" w:rsidRDefault="00EA6BE2" w14:paraId="49182E2D" w14:textId="77777777">
            <w:pPr>
              <w:numPr>
                <w:ilvl w:val="0"/>
                <w:numId w:val="4"/>
              </w:num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t>Derive multilevel linear models incorporating area-level and individual-level social determinants separately, to predict population-level mean of general health and musculoskeletal health, and compare the predictive abilities of area-level and individual-level social determinants</w:t>
            </w:r>
          </w:p>
          <w:p w:rsidRPr="00174C55" w:rsidR="00EA6BE2" w:rsidP="00EA6BE2" w:rsidRDefault="00EA6BE2" w14:paraId="3FB049B1" w14:textId="77777777">
            <w:pPr>
              <w:numPr>
                <w:ilvl w:val="0"/>
                <w:numId w:val="4"/>
              </w:num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t>Produce data visualisation (map) on the distribution of population-level mean of general health and musculoskeletal health in local small-areas (MSOA/LSOA) with most predictive social determinant, and present these for discussion at a PPIE meeting</w:t>
            </w:r>
          </w:p>
          <w:p w:rsidRPr="00174C55" w:rsidR="00EA6BE2" w:rsidP="00EA6BE2" w:rsidRDefault="00EA6BE2" w14:paraId="6907E0DE" w14:textId="77777777">
            <w:p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lastRenderedPageBreak/>
              <w:t xml:space="preserve">Study 3: </w:t>
            </w:r>
            <w:r w:rsidRPr="00174C55">
              <w:rPr>
                <w:rFonts w:asciiTheme="minorHAnsi" w:hAnsiTheme="minorHAnsi" w:cstheme="minorHAnsi"/>
                <w:b w:val="0"/>
                <w:bCs w:val="0"/>
                <w:i/>
                <w:iCs/>
                <w:szCs w:val="24"/>
              </w:rPr>
              <w:t>Explore the capability for linkage of community datasets with the primary care electronic health record</w:t>
            </w:r>
            <w:r w:rsidRPr="00174C55">
              <w:rPr>
                <w:rFonts w:asciiTheme="minorHAnsi" w:hAnsiTheme="minorHAnsi" w:cstheme="minorHAnsi"/>
                <w:b w:val="0"/>
                <w:bCs w:val="0"/>
                <w:szCs w:val="24"/>
              </w:rPr>
              <w:t xml:space="preserve"> </w:t>
            </w:r>
            <w:r w:rsidRPr="00174C55">
              <w:rPr>
                <w:rFonts w:asciiTheme="minorHAnsi" w:hAnsiTheme="minorHAnsi" w:cstheme="minorHAnsi"/>
                <w:b w:val="0"/>
                <w:bCs w:val="0"/>
                <w:i/>
                <w:iCs/>
                <w:szCs w:val="24"/>
              </w:rPr>
              <w:t>(Objective 3)</w:t>
            </w:r>
          </w:p>
          <w:p w:rsidRPr="00174C55" w:rsidR="00EA6BE2" w:rsidP="00EA6BE2" w:rsidRDefault="00EA6BE2" w14:paraId="6E4A8F1E" w14:textId="77777777">
            <w:p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t xml:space="preserve">The student will undertake a proof of concept for linking a community dataset that has information on social determinants of health (for, example Health Visitor database, midwifery database or local authority database) with the primary care electronic health record. Royal Wolverhampton NHS Trust has several linked databases housed within the Trust that includes primary care, district nursing, palliative care, and walk in centres. The framework already exists to link the datasets however the student will need to work collaboratively with the Trust data warehouse team, public health and the Institute of Health and Innovation to join one of these datasets with information held in the primary care record. </w:t>
            </w:r>
          </w:p>
          <w:p w:rsidRPr="00174C55" w:rsidR="00EA6BE2" w:rsidP="00EA6BE2" w:rsidRDefault="00EA6BE2" w14:paraId="3D61765F" w14:textId="77777777">
            <w:pPr>
              <w:spacing w:after="160" w:line="259" w:lineRule="auto"/>
              <w:rPr>
                <w:rFonts w:asciiTheme="minorHAnsi" w:hAnsiTheme="minorHAnsi" w:cstheme="minorHAnsi"/>
                <w:b w:val="0"/>
                <w:bCs w:val="0"/>
                <w:szCs w:val="24"/>
              </w:rPr>
            </w:pPr>
            <w:r w:rsidRPr="00174C55">
              <w:rPr>
                <w:rFonts w:asciiTheme="minorHAnsi" w:hAnsiTheme="minorHAnsi" w:cstheme="minorHAnsi"/>
                <w:b w:val="0"/>
                <w:bCs w:val="0"/>
                <w:szCs w:val="24"/>
              </w:rPr>
              <w:t>The student will use the results of study one and two, as well as discussions with supervisors and PPIE group to determine which dataset to link and to identify key indicators.</w:t>
            </w:r>
          </w:p>
          <w:p w:rsidRPr="00174C55" w:rsidR="00E0356E" w:rsidP="00140508" w:rsidRDefault="00E0356E" w14:paraId="2CD8510C" w14:textId="4C64FF95">
            <w:pPr>
              <w:spacing w:after="120"/>
              <w:jc w:val="both"/>
              <w:rPr>
                <w:rFonts w:asciiTheme="minorHAnsi" w:hAnsiTheme="minorHAnsi" w:cstheme="minorHAnsi"/>
                <w:szCs w:val="24"/>
              </w:rPr>
            </w:pPr>
          </w:p>
          <w:p w:rsidRPr="00174C55" w:rsidR="00EA6BE2" w:rsidP="5BD5A03F" w:rsidRDefault="00EA6BE2" w14:paraId="7ABDFCB4" w14:textId="77777777">
            <w:pPr>
              <w:pStyle w:val="BodyText2"/>
              <w:tabs>
                <w:tab w:val="clear" w:pos="720"/>
              </w:tabs>
              <w:rPr>
                <w:rFonts w:ascii="Calibri" w:hAnsi="Calibri" w:cs="Calibri" w:asciiTheme="minorAscii" w:hAnsiTheme="minorAscii" w:cstheme="minorAscii"/>
                <w:b w:val="1"/>
                <w:bCs w:val="1"/>
                <w:sz w:val="16"/>
                <w:szCs w:val="16"/>
              </w:rPr>
            </w:pPr>
            <w:r w:rsidRPr="5BD5A03F" w:rsidR="7B9FA624">
              <w:rPr>
                <w:rFonts w:ascii="Calibri" w:hAnsi="Calibri" w:cs="Calibri" w:asciiTheme="minorAscii" w:hAnsiTheme="minorAscii" w:cstheme="minorAscii"/>
                <w:b w:val="1"/>
                <w:bCs w:val="1"/>
                <w:sz w:val="16"/>
                <w:szCs w:val="16"/>
              </w:rPr>
              <w:t>References</w:t>
            </w:r>
          </w:p>
          <w:p w:rsidRPr="003C48A2" w:rsidR="00EA6BE2" w:rsidP="5BD5A03F" w:rsidRDefault="00EA6BE2" w14:paraId="659487EA" w14:textId="77777777">
            <w:pPr>
              <w:pStyle w:val="NormalWeb"/>
              <w:numPr>
                <w:ilvl w:val="0"/>
                <w:numId w:val="5"/>
              </w:numPr>
              <w:rPr>
                <w:rStyle w:val="Hyperlink"/>
                <w:rFonts w:ascii="Calibri" w:hAnsi="Calibri" w:cs="Calibri" w:asciiTheme="minorAscii" w:hAnsiTheme="minorAscii" w:cstheme="minorAscii"/>
                <w:b w:val="0"/>
                <w:bCs w:val="0"/>
                <w:sz w:val="16"/>
                <w:szCs w:val="16"/>
              </w:rPr>
            </w:pPr>
            <w:r w:rsidRPr="5BD5A03F" w:rsidR="7B9FA624">
              <w:rPr>
                <w:rFonts w:ascii="Calibri" w:hAnsi="Calibri" w:cs="Calibri" w:asciiTheme="minorAscii" w:hAnsiTheme="minorAscii" w:cstheme="minorAscii"/>
                <w:b w:val="0"/>
                <w:bCs w:val="0"/>
                <w:sz w:val="16"/>
                <w:szCs w:val="16"/>
              </w:rPr>
              <w:t>ONS. Health state life expectancies by national deprivation deciles, England: 2016-2018. URL: https://www.ons.gov.uk/peoplepopulationandcommunity/healthandsocialcare/healthinequalities/bulletins/healthstatelifeexpectanciesbyindexofmultipledeprivationimd/2016to2018. Accessed 08.09.2021.</w:t>
            </w:r>
          </w:p>
          <w:p w:rsidRPr="003C48A2" w:rsidR="00EA6BE2" w:rsidP="5BD5A03F" w:rsidRDefault="00EA6BE2" w14:paraId="0E2F0609" w14:textId="77777777">
            <w:pPr>
              <w:pStyle w:val="NormalWeb"/>
              <w:numPr>
                <w:ilvl w:val="0"/>
                <w:numId w:val="5"/>
              </w:numPr>
              <w:rPr>
                <w:rStyle w:val="Hyperlink"/>
                <w:rFonts w:ascii="Calibri" w:hAnsi="Calibri" w:cs="Calibri" w:asciiTheme="minorAscii" w:hAnsiTheme="minorAscii" w:cstheme="minorAscii"/>
                <w:b w:val="0"/>
                <w:bCs w:val="0"/>
                <w:sz w:val="16"/>
                <w:szCs w:val="16"/>
              </w:rPr>
            </w:pPr>
            <w:r w:rsidRPr="5BD5A03F" w:rsidR="7B9FA624">
              <w:rPr>
                <w:rFonts w:ascii="Calibri" w:hAnsi="Calibri" w:cs="Calibri" w:asciiTheme="minorAscii" w:hAnsiTheme="minorAscii" w:cstheme="minorAscii"/>
                <w:b w:val="0"/>
                <w:bCs w:val="0"/>
                <w:sz w:val="16"/>
                <w:szCs w:val="16"/>
              </w:rPr>
              <w:t xml:space="preserve">Build back fairer: the Covid-19 Marmot review. </w:t>
            </w:r>
            <w:hyperlink>
              <w:r w:rsidRPr="5BD5A03F" w:rsidR="7B9FA624">
                <w:rPr>
                  <w:rStyle w:val="Hyperlink"/>
                  <w:rFonts w:ascii="Calibri" w:hAnsi="Calibri" w:cs="Calibri" w:asciiTheme="minorAscii" w:hAnsiTheme="minorAscii" w:cstheme="minorAscii"/>
                  <w:b w:val="0"/>
                  <w:bCs w:val="0"/>
                  <w:color w:val="000000" w:themeColor="text1" w:themeTint="FF" w:themeShade="FF"/>
                  <w:sz w:val="16"/>
                  <w:szCs w:val="16"/>
                </w:rPr>
                <w:t>URL:https://www.health.org.uk/publications/build-back-fairer-the-covid-19-marmot-review. Accessed 08.09.21</w:t>
              </w:r>
            </w:hyperlink>
            <w:r w:rsidRPr="5BD5A03F" w:rsidR="7B9FA624">
              <w:rPr>
                <w:rStyle w:val="Hyperlink"/>
                <w:rFonts w:ascii="Calibri" w:hAnsi="Calibri" w:cs="Calibri" w:asciiTheme="minorAscii" w:hAnsiTheme="minorAscii" w:cstheme="minorAscii"/>
                <w:b w:val="0"/>
                <w:bCs w:val="0"/>
                <w:color w:val="000000" w:themeColor="text1" w:themeTint="FF" w:themeShade="FF"/>
                <w:sz w:val="16"/>
                <w:szCs w:val="16"/>
              </w:rPr>
              <w:t>.</w:t>
            </w:r>
          </w:p>
          <w:p w:rsidRPr="003C48A2" w:rsidR="00EA6BE2" w:rsidP="5BD5A03F" w:rsidRDefault="00EA6BE2" w14:paraId="3D073B92" w14:textId="77777777">
            <w:pPr>
              <w:pStyle w:val="NormalWeb"/>
              <w:numPr>
                <w:ilvl w:val="0"/>
                <w:numId w:val="5"/>
              </w:numPr>
              <w:rPr>
                <w:rStyle w:val="Hyperlink"/>
                <w:rFonts w:ascii="Calibri" w:hAnsi="Calibri" w:cs="Calibri" w:asciiTheme="minorAscii" w:hAnsiTheme="minorAscii" w:cstheme="minorAscii"/>
                <w:b w:val="0"/>
                <w:bCs w:val="0"/>
                <w:sz w:val="16"/>
                <w:szCs w:val="16"/>
              </w:rPr>
            </w:pPr>
            <w:r w:rsidRPr="5BD5A03F" w:rsidR="7B9FA624">
              <w:rPr>
                <w:rFonts w:ascii="Calibri" w:hAnsi="Calibri" w:cs="Calibri" w:asciiTheme="minorAscii" w:hAnsiTheme="minorAscii" w:cstheme="minorAscii"/>
                <w:b w:val="0"/>
                <w:bCs w:val="0"/>
                <w:sz w:val="16"/>
                <w:szCs w:val="16"/>
              </w:rPr>
              <w:t>WHO.</w:t>
            </w:r>
            <w:r w:rsidRPr="5BD5A03F" w:rsidR="7B9FA624">
              <w:rPr>
                <w:rFonts w:ascii="Calibri" w:hAnsi="Calibri" w:cs="Calibri" w:asciiTheme="minorAscii" w:hAnsiTheme="minorAscii" w:cstheme="minorAscii"/>
                <w:b w:val="0"/>
                <w:bCs w:val="0"/>
                <w:sz w:val="16"/>
                <w:szCs w:val="16"/>
              </w:rPr>
              <w:t xml:space="preserve"> Social determinants of health</w:t>
            </w:r>
            <w:r w:rsidRPr="5BD5A03F" w:rsidR="7B9FA624">
              <w:rPr>
                <w:rStyle w:val="Hyperlink"/>
                <w:rFonts w:ascii="Calibri" w:hAnsi="Calibri" w:cs="Calibri" w:asciiTheme="minorAscii" w:hAnsiTheme="minorAscii" w:cstheme="minorAscii"/>
                <w:b w:val="0"/>
                <w:bCs w:val="0"/>
                <w:color w:val="000000" w:themeColor="text1" w:themeTint="FF" w:themeShade="FF"/>
                <w:sz w:val="16"/>
                <w:szCs w:val="16"/>
              </w:rPr>
              <w:t>. URL: https://www.who.int/health-topics/social-determinants-of-health#tab=tab_1. Accessed: 08.09.21</w:t>
            </w:r>
          </w:p>
          <w:p w:rsidRPr="003C48A2" w:rsidR="00EA6BE2" w:rsidP="5BD5A03F" w:rsidRDefault="00EA6BE2" w14:paraId="598521A2" w14:textId="77777777">
            <w:pPr>
              <w:pStyle w:val="ListParagraph"/>
              <w:numPr>
                <w:ilvl w:val="0"/>
                <w:numId w:val="5"/>
              </w:numPr>
              <w:rPr>
                <w:rFonts w:ascii="Calibri" w:hAnsi="Calibri" w:cs="Calibri" w:asciiTheme="minorAscii" w:hAnsiTheme="minorAscii" w:cstheme="minorAscii"/>
                <w:b w:val="0"/>
                <w:bCs w:val="0"/>
                <w:color w:val="000000"/>
                <w:sz w:val="16"/>
                <w:szCs w:val="16"/>
              </w:rPr>
            </w:pPr>
            <w:r w:rsidRPr="5BD5A03F" w:rsidR="7B9FA624">
              <w:rPr>
                <w:rFonts w:ascii="Calibri" w:hAnsi="Calibri" w:cs="Calibri" w:asciiTheme="minorAscii" w:hAnsiTheme="minorAscii" w:cstheme="minorAscii"/>
                <w:b w:val="0"/>
                <w:bCs w:val="0"/>
                <w:color w:val="000000" w:themeColor="text1" w:themeTint="FF" w:themeShade="FF"/>
                <w:sz w:val="16"/>
                <w:szCs w:val="16"/>
              </w:rPr>
              <w:t xml:space="preserve">Kostelanetz S, </w:t>
            </w:r>
            <w:proofErr w:type="spellStart"/>
            <w:r w:rsidRPr="5BD5A03F" w:rsidR="7B9FA624">
              <w:rPr>
                <w:rFonts w:ascii="Calibri" w:hAnsi="Calibri" w:cs="Calibri" w:asciiTheme="minorAscii" w:hAnsiTheme="minorAscii" w:cstheme="minorAscii"/>
                <w:b w:val="0"/>
                <w:bCs w:val="0"/>
                <w:color w:val="000000" w:themeColor="text1" w:themeTint="FF" w:themeShade="FF"/>
                <w:sz w:val="16"/>
                <w:szCs w:val="16"/>
              </w:rPr>
              <w:t>Pettapiece</w:t>
            </w:r>
            <w:proofErr w:type="spellEnd"/>
            <w:r w:rsidRPr="5BD5A03F" w:rsidR="7B9FA624">
              <w:rPr>
                <w:rFonts w:ascii="Calibri" w:hAnsi="Calibri" w:cs="Calibri" w:asciiTheme="minorAscii" w:hAnsiTheme="minorAscii" w:cstheme="minorAscii"/>
                <w:b w:val="0"/>
                <w:bCs w:val="0"/>
                <w:color w:val="000000" w:themeColor="text1" w:themeTint="FF" w:themeShade="FF"/>
                <w:sz w:val="16"/>
                <w:szCs w:val="16"/>
              </w:rPr>
              <w:t xml:space="preserve">-Phillips M, Weems J, Spalding T, </w:t>
            </w:r>
            <w:proofErr w:type="spellStart"/>
            <w:r w:rsidRPr="5BD5A03F" w:rsidR="7B9FA624">
              <w:rPr>
                <w:rFonts w:ascii="Calibri" w:hAnsi="Calibri" w:cs="Calibri" w:asciiTheme="minorAscii" w:hAnsiTheme="minorAscii" w:cstheme="minorAscii"/>
                <w:b w:val="0"/>
                <w:bCs w:val="0"/>
                <w:color w:val="000000" w:themeColor="text1" w:themeTint="FF" w:themeShade="FF"/>
                <w:sz w:val="16"/>
                <w:szCs w:val="16"/>
              </w:rPr>
              <w:t>Roumie</w:t>
            </w:r>
            <w:proofErr w:type="spellEnd"/>
            <w:r w:rsidRPr="5BD5A03F" w:rsidR="7B9FA624">
              <w:rPr>
                <w:rFonts w:ascii="Calibri" w:hAnsi="Calibri" w:cs="Calibri" w:asciiTheme="minorAscii" w:hAnsiTheme="minorAscii" w:cstheme="minorAscii"/>
                <w:b w:val="0"/>
                <w:bCs w:val="0"/>
                <w:color w:val="000000" w:themeColor="text1" w:themeTint="FF" w:themeShade="FF"/>
                <w:sz w:val="16"/>
                <w:szCs w:val="16"/>
              </w:rPr>
              <w:t xml:space="preserve"> C., </w:t>
            </w:r>
            <w:proofErr w:type="spellStart"/>
            <w:r w:rsidRPr="5BD5A03F" w:rsidR="7B9FA624">
              <w:rPr>
                <w:rFonts w:ascii="Calibri" w:hAnsi="Calibri" w:cs="Calibri" w:asciiTheme="minorAscii" w:hAnsiTheme="minorAscii" w:cstheme="minorAscii"/>
                <w:b w:val="0"/>
                <w:bCs w:val="0"/>
                <w:color w:val="000000" w:themeColor="text1" w:themeTint="FF" w:themeShade="FF"/>
                <w:sz w:val="16"/>
                <w:szCs w:val="16"/>
              </w:rPr>
              <w:t>Wilkiins</w:t>
            </w:r>
            <w:proofErr w:type="spellEnd"/>
            <w:r w:rsidRPr="5BD5A03F" w:rsidR="7B9FA624">
              <w:rPr>
                <w:rFonts w:ascii="Calibri" w:hAnsi="Calibri" w:cs="Calibri" w:asciiTheme="minorAscii" w:hAnsiTheme="minorAscii" w:cstheme="minorAscii"/>
                <w:b w:val="0"/>
                <w:bCs w:val="0"/>
                <w:color w:val="000000" w:themeColor="text1" w:themeTint="FF" w:themeShade="FF"/>
                <w:sz w:val="16"/>
                <w:szCs w:val="16"/>
              </w:rPr>
              <w:t xml:space="preserve"> C.H, </w:t>
            </w:r>
            <w:r w:rsidRPr="5BD5A03F" w:rsidR="7B9FA624">
              <w:rPr>
                <w:rFonts w:ascii="Calibri" w:hAnsi="Calibri" w:cs="Calibri" w:asciiTheme="minorAscii" w:hAnsiTheme="minorAscii" w:cstheme="minorAscii"/>
                <w:b w:val="0"/>
                <w:bCs w:val="0"/>
                <w:color w:val="000000" w:themeColor="text1" w:themeTint="FF" w:themeShade="FF"/>
                <w:sz w:val="16"/>
                <w:szCs w:val="16"/>
              </w:rPr>
              <w:t>Kripalani</w:t>
            </w:r>
            <w:r w:rsidRPr="5BD5A03F" w:rsidR="7B9FA624">
              <w:rPr>
                <w:rFonts w:ascii="Calibri" w:hAnsi="Calibri" w:cs="Calibri" w:asciiTheme="minorAscii" w:hAnsiTheme="minorAscii" w:cstheme="minorAscii"/>
                <w:b w:val="0"/>
                <w:bCs w:val="0"/>
                <w:color w:val="000000" w:themeColor="text1" w:themeTint="FF" w:themeShade="FF"/>
                <w:sz w:val="16"/>
                <w:szCs w:val="16"/>
              </w:rPr>
              <w:t xml:space="preserve"> S. Health Care Professionals’ perspectives on Universal Screening of Social Determinants of Health: A </w:t>
            </w:r>
            <w:proofErr w:type="gramStart"/>
            <w:r w:rsidRPr="5BD5A03F" w:rsidR="7B9FA624">
              <w:rPr>
                <w:rFonts w:ascii="Calibri" w:hAnsi="Calibri" w:cs="Calibri" w:asciiTheme="minorAscii" w:hAnsiTheme="minorAscii" w:cstheme="minorAscii"/>
                <w:b w:val="0"/>
                <w:bCs w:val="0"/>
                <w:color w:val="000000" w:themeColor="text1" w:themeTint="FF" w:themeShade="FF"/>
                <w:sz w:val="16"/>
                <w:szCs w:val="16"/>
              </w:rPr>
              <w:t>mixed</w:t>
            </w:r>
            <w:proofErr w:type="gramEnd"/>
            <w:r w:rsidRPr="5BD5A03F" w:rsidR="7B9FA624">
              <w:rPr>
                <w:rFonts w:ascii="Calibri" w:hAnsi="Calibri" w:cs="Calibri" w:asciiTheme="minorAscii" w:hAnsiTheme="minorAscii" w:cstheme="minorAscii"/>
                <w:b w:val="0"/>
                <w:bCs w:val="0"/>
                <w:color w:val="000000" w:themeColor="text1" w:themeTint="FF" w:themeShade="FF"/>
                <w:sz w:val="16"/>
                <w:szCs w:val="16"/>
              </w:rPr>
              <w:t xml:space="preserve">-Methods Study. </w:t>
            </w:r>
            <w:r w:rsidRPr="5BD5A03F" w:rsidR="7B9FA624">
              <w:rPr>
                <w:rFonts w:ascii="Calibri" w:hAnsi="Calibri" w:cs="Calibri" w:asciiTheme="minorAscii" w:hAnsiTheme="minorAscii" w:cstheme="minorAscii"/>
                <w:b w:val="0"/>
                <w:bCs w:val="0"/>
                <w:i w:val="1"/>
                <w:iCs w:val="1"/>
                <w:color w:val="000000" w:themeColor="text1" w:themeTint="FF" w:themeShade="FF"/>
                <w:sz w:val="16"/>
                <w:szCs w:val="16"/>
              </w:rPr>
              <w:t>Population Health Management</w:t>
            </w:r>
            <w:r w:rsidRPr="5BD5A03F" w:rsidR="7B9FA624">
              <w:rPr>
                <w:rFonts w:ascii="Calibri" w:hAnsi="Calibri" w:cs="Calibri" w:asciiTheme="minorAscii" w:hAnsiTheme="minorAscii" w:cstheme="minorAscii"/>
                <w:b w:val="0"/>
                <w:bCs w:val="0"/>
                <w:color w:val="000000" w:themeColor="text1" w:themeTint="FF" w:themeShade="FF"/>
                <w:sz w:val="16"/>
                <w:szCs w:val="16"/>
              </w:rPr>
              <w:t xml:space="preserve">, 2021. Doi: </w:t>
            </w:r>
            <w:hyperlink r:id="Reea054ec4f814d6c">
              <w:r w:rsidRPr="5BD5A03F" w:rsidR="7B9FA624">
                <w:rPr>
                  <w:rStyle w:val="Hyperlink"/>
                  <w:rFonts w:ascii="Calibri" w:hAnsi="Calibri" w:cs="Calibri" w:asciiTheme="minorAscii" w:hAnsiTheme="minorAscii" w:cstheme="minorAscii"/>
                  <w:b w:val="0"/>
                  <w:bCs w:val="0"/>
                  <w:color w:val="000000" w:themeColor="text1" w:themeTint="FF" w:themeShade="FF"/>
                  <w:sz w:val="16"/>
                  <w:szCs w:val="16"/>
                </w:rPr>
                <w:t>https://doi.org/10.1089/pop.2021.0176</w:t>
              </w:r>
            </w:hyperlink>
          </w:p>
          <w:p w:rsidRPr="003C48A2" w:rsidR="00EA6BE2" w:rsidP="5BD5A03F" w:rsidRDefault="00EA6BE2" w14:paraId="63683CA2" w14:textId="77777777">
            <w:pPr>
              <w:pStyle w:val="NormalWeb"/>
              <w:numPr>
                <w:ilvl w:val="0"/>
                <w:numId w:val="5"/>
              </w:numPr>
              <w:rPr>
                <w:rFonts w:ascii="Calibri" w:hAnsi="Calibri" w:cs="Calibri" w:asciiTheme="minorAscii" w:hAnsiTheme="minorAscii" w:cstheme="minorAscii"/>
                <w:b w:val="0"/>
                <w:bCs w:val="0"/>
                <w:sz w:val="16"/>
                <w:szCs w:val="16"/>
              </w:rPr>
            </w:pPr>
            <w:r w:rsidRPr="5BD5A03F" w:rsidR="7B9FA624">
              <w:rPr>
                <w:rFonts w:ascii="Calibri" w:hAnsi="Calibri" w:cs="Calibri" w:asciiTheme="minorAscii" w:hAnsiTheme="minorAscii" w:cstheme="minorAscii"/>
                <w:b w:val="0"/>
                <w:bCs w:val="0"/>
                <w:sz w:val="16"/>
                <w:szCs w:val="16"/>
              </w:rPr>
              <w:t>Ministry of housing communities and local government. The English Indices of Deprivation 2019. URL: https://assets.publishing.service.gov.uk/government/uploads/system/uploads/attachment_data/file/835115/IoD2019_Statistical_Release.pdf</w:t>
            </w:r>
            <w:r w:rsidRPr="5BD5A03F" w:rsidR="7B9FA624">
              <w:rPr>
                <w:rStyle w:val="Hyperlink"/>
                <w:rFonts w:ascii="Calibri" w:hAnsi="Calibri" w:cs="Calibri" w:asciiTheme="minorAscii" w:hAnsiTheme="minorAscii" w:cstheme="minorAscii"/>
                <w:b w:val="0"/>
                <w:bCs w:val="0"/>
                <w:color w:val="000000" w:themeColor="text1" w:themeTint="FF" w:themeShade="FF"/>
                <w:sz w:val="16"/>
                <w:szCs w:val="16"/>
              </w:rPr>
              <w:t>. Accessed: 08.09.21</w:t>
            </w:r>
          </w:p>
          <w:p w:rsidRPr="003C48A2" w:rsidR="00EA6BE2" w:rsidP="5BD5A03F" w:rsidRDefault="00EA6BE2" w14:paraId="30EB0B90" w14:textId="77777777">
            <w:pPr>
              <w:pStyle w:val="ListParagraph"/>
              <w:numPr>
                <w:ilvl w:val="0"/>
                <w:numId w:val="5"/>
              </w:numPr>
              <w:rPr>
                <w:rFonts w:ascii="Calibri" w:hAnsi="Calibri" w:cs="Calibri" w:asciiTheme="minorAscii" w:hAnsiTheme="minorAscii" w:cstheme="minorAscii"/>
                <w:b w:val="0"/>
                <w:bCs w:val="0"/>
                <w:sz w:val="16"/>
                <w:szCs w:val="16"/>
              </w:rPr>
            </w:pPr>
            <w:r w:rsidRPr="5BD5A03F" w:rsidR="7B9FA624">
              <w:rPr>
                <w:rFonts w:ascii="Calibri" w:hAnsi="Calibri" w:cs="Calibri" w:asciiTheme="minorAscii" w:hAnsiTheme="minorAscii" w:cstheme="minorAscii"/>
                <w:b w:val="0"/>
                <w:bCs w:val="0"/>
                <w:sz w:val="16"/>
                <w:szCs w:val="16"/>
                <w:shd w:val="clear" w:color="auto" w:fill="FFFFFF"/>
              </w:rPr>
              <w:t xml:space="preserve">Pinto AD, </w:t>
            </w:r>
            <w:r w:rsidRPr="5BD5A03F" w:rsidR="7B9FA624">
              <w:rPr>
                <w:rFonts w:ascii="Calibri" w:hAnsi="Calibri" w:cs="Calibri" w:asciiTheme="minorAscii" w:hAnsiTheme="minorAscii" w:cstheme="minorAscii"/>
                <w:b w:val="0"/>
                <w:bCs w:val="0"/>
                <w:sz w:val="16"/>
                <w:szCs w:val="16"/>
                <w:shd w:val="clear" w:color="auto" w:fill="FFFFFF"/>
              </w:rPr>
              <w:t>Bondy</w:t>
            </w:r>
            <w:r w:rsidRPr="5BD5A03F" w:rsidR="7B9FA624">
              <w:rPr>
                <w:rFonts w:ascii="Calibri" w:hAnsi="Calibri" w:cs="Calibri" w:asciiTheme="minorAscii" w:hAnsiTheme="minorAscii" w:cstheme="minorAscii"/>
                <w:b w:val="0"/>
                <w:bCs w:val="0"/>
                <w:sz w:val="16"/>
                <w:szCs w:val="16"/>
                <w:shd w:val="clear" w:color="auto" w:fill="FFFFFF"/>
              </w:rPr>
              <w:t xml:space="preserve"> M, </w:t>
            </w:r>
            <w:proofErr w:type="spellStart"/>
            <w:r w:rsidRPr="5BD5A03F" w:rsidR="7B9FA624">
              <w:rPr>
                <w:rFonts w:ascii="Calibri" w:hAnsi="Calibri" w:cs="Calibri" w:asciiTheme="minorAscii" w:hAnsiTheme="minorAscii" w:cstheme="minorAscii"/>
                <w:b w:val="0"/>
                <w:bCs w:val="0"/>
                <w:sz w:val="16"/>
                <w:szCs w:val="16"/>
                <w:shd w:val="clear" w:color="auto" w:fill="FFFFFF"/>
              </w:rPr>
              <w:t>Ruccetto</w:t>
            </w:r>
            <w:proofErr w:type="spellEnd"/>
            <w:r w:rsidRPr="5BD5A03F" w:rsidR="7B9FA624">
              <w:rPr>
                <w:rFonts w:ascii="Calibri" w:hAnsi="Calibri" w:cs="Calibri" w:asciiTheme="minorAscii" w:hAnsiTheme="minorAscii" w:cstheme="minorAscii"/>
                <w:b w:val="0"/>
                <w:bCs w:val="0"/>
                <w:sz w:val="16"/>
                <w:szCs w:val="16"/>
                <w:shd w:val="clear" w:color="auto" w:fill="FFFFFF"/>
              </w:rPr>
              <w:t xml:space="preserve"> A, </w:t>
            </w:r>
            <w:r w:rsidRPr="5BD5A03F" w:rsidR="7B9FA624">
              <w:rPr>
                <w:rFonts w:ascii="Calibri" w:hAnsi="Calibri" w:cs="Calibri" w:asciiTheme="minorAscii" w:hAnsiTheme="minorAscii" w:cstheme="minorAscii"/>
                <w:b w:val="0"/>
                <w:bCs w:val="0"/>
                <w:sz w:val="16"/>
                <w:szCs w:val="16"/>
                <w:shd w:val="clear" w:color="auto" w:fill="FFFFFF"/>
              </w:rPr>
              <w:t>Ihnat</w:t>
            </w:r>
            <w:r w:rsidRPr="5BD5A03F" w:rsidR="7B9FA624">
              <w:rPr>
                <w:rFonts w:ascii="Calibri" w:hAnsi="Calibri" w:cs="Calibri" w:asciiTheme="minorAscii" w:hAnsiTheme="minorAscii" w:cstheme="minorAscii"/>
                <w:b w:val="0"/>
                <w:bCs w:val="0"/>
                <w:sz w:val="16"/>
                <w:szCs w:val="16"/>
                <w:shd w:val="clear" w:color="auto" w:fill="FFFFFF"/>
              </w:rPr>
              <w:t xml:space="preserve"> j, Kaufman A. screening for poverty and intervening in a primary care setting: an acceptability and feasibility study.</w:t>
            </w:r>
            <w:r w:rsidRPr="5BD5A03F" w:rsidR="7B9FA624">
              <w:rPr>
                <w:rStyle w:val="apple-converted-space"/>
                <w:rFonts w:ascii="Calibri" w:hAnsi="Calibri" w:cs="Calibri" w:asciiTheme="minorAscii" w:hAnsiTheme="minorAscii" w:cstheme="minorAscii"/>
                <w:b w:val="0"/>
                <w:bCs w:val="0"/>
                <w:sz w:val="16"/>
                <w:szCs w:val="16"/>
                <w:shd w:val="clear" w:color="auto" w:fill="FFFFFF"/>
              </w:rPr>
              <w:t> </w:t>
            </w:r>
            <w:r w:rsidRPr="5BD5A03F" w:rsidR="7B9FA624">
              <w:rPr>
                <w:rStyle w:val="Emphasis"/>
                <w:rFonts w:ascii="Calibri" w:hAnsi="Calibri" w:cs="Calibri" w:asciiTheme="minorAscii" w:hAnsiTheme="minorAscii" w:cstheme="minorAscii"/>
                <w:b w:val="0"/>
                <w:bCs w:val="0"/>
                <w:sz w:val="16"/>
                <w:szCs w:val="16"/>
                <w:bdr w:val="none" w:color="auto" w:sz="0" w:space="0" w:frame="1"/>
              </w:rPr>
              <w:t>Family Practice</w:t>
            </w:r>
            <w:r w:rsidRPr="5BD5A03F" w:rsidR="7B9FA624">
              <w:rPr>
                <w:rFonts w:ascii="Calibri" w:hAnsi="Calibri" w:cs="Calibri" w:asciiTheme="minorAscii" w:hAnsiTheme="minorAscii" w:cstheme="minorAscii"/>
                <w:b w:val="0"/>
                <w:bCs w:val="0"/>
                <w:sz w:val="16"/>
                <w:szCs w:val="16"/>
                <w:shd w:val="clear" w:color="auto" w:fill="FFFFFF"/>
              </w:rPr>
              <w:t>. 2019; 36(5):634–638. Doi:</w:t>
            </w:r>
            <w:r w:rsidRPr="5BD5A03F" w:rsidR="7B9FA624">
              <w:rPr>
                <w:rStyle w:val="apple-converted-space"/>
                <w:rFonts w:ascii="Calibri" w:hAnsi="Calibri" w:cs="Calibri" w:asciiTheme="minorAscii" w:hAnsiTheme="minorAscii" w:cstheme="minorAscii"/>
                <w:b w:val="0"/>
                <w:bCs w:val="0"/>
                <w:sz w:val="16"/>
                <w:szCs w:val="16"/>
                <w:shd w:val="clear" w:color="auto" w:fill="FFFFFF"/>
              </w:rPr>
              <w:t> </w:t>
            </w:r>
            <w:r w:rsidRPr="5BD5A03F" w:rsidR="7B9FA624">
              <w:rPr>
                <w:rFonts w:ascii="Calibri" w:hAnsi="Calibri" w:cs="Calibri" w:asciiTheme="minorAscii" w:hAnsiTheme="minorAscii" w:cstheme="minorAscii"/>
                <w:b w:val="0"/>
                <w:bCs w:val="0"/>
                <w:sz w:val="16"/>
                <w:szCs w:val="16"/>
                <w:bdr w:val="none" w:color="auto" w:sz="0" w:space="0" w:frame="1"/>
              </w:rPr>
              <w:t>https://doi.org/10.1093/fampra/cmy129</w:t>
            </w:r>
          </w:p>
          <w:p w:rsidRPr="003C48A2" w:rsidR="00EA6BE2" w:rsidP="5BD5A03F" w:rsidRDefault="00EA6BE2" w14:paraId="44275EB1" w14:textId="77777777">
            <w:pPr>
              <w:pStyle w:val="ListParagraph"/>
              <w:numPr>
                <w:ilvl w:val="0"/>
                <w:numId w:val="5"/>
              </w:numPr>
              <w:rPr>
                <w:rFonts w:ascii="Calibri" w:hAnsi="Calibri" w:cs="Calibri" w:asciiTheme="minorAscii" w:hAnsiTheme="minorAscii" w:cstheme="minorAscii"/>
                <w:b w:val="0"/>
                <w:bCs w:val="0"/>
                <w:sz w:val="16"/>
                <w:szCs w:val="16"/>
              </w:rPr>
            </w:pPr>
            <w:r w:rsidRPr="5BD5A03F" w:rsidR="7B9FA624">
              <w:rPr>
                <w:rFonts w:ascii="Calibri" w:hAnsi="Calibri" w:cs="Calibri" w:asciiTheme="minorAscii" w:hAnsiTheme="minorAscii" w:cstheme="minorAscii"/>
                <w:b w:val="0"/>
                <w:bCs w:val="0"/>
                <w:sz w:val="16"/>
                <w:szCs w:val="16"/>
                <w:shd w:val="clear" w:color="auto" w:fill="FCFCFC"/>
              </w:rPr>
              <w:t>Chhabra M, Sorrentino AE, Cusack M. </w:t>
            </w:r>
            <w:r w:rsidRPr="5BD5A03F" w:rsidR="7B9FA624">
              <w:rPr>
                <w:rFonts w:ascii="Calibri" w:hAnsi="Calibri" w:cs="Calibri" w:asciiTheme="minorAscii" w:hAnsiTheme="minorAscii" w:cstheme="minorAscii"/>
                <w:b w:val="0"/>
                <w:bCs w:val="0"/>
                <w:i w:val="1"/>
                <w:iCs w:val="1"/>
                <w:sz w:val="16"/>
                <w:szCs w:val="16"/>
              </w:rPr>
              <w:t>et al.</w:t>
            </w:r>
            <w:r w:rsidRPr="5BD5A03F" w:rsidR="7B9FA624">
              <w:rPr>
                <w:rFonts w:ascii="Calibri" w:hAnsi="Calibri" w:cs="Calibri" w:asciiTheme="minorAscii" w:hAnsiTheme="minorAscii" w:cstheme="minorAscii"/>
                <w:b w:val="0"/>
                <w:bCs w:val="0"/>
                <w:sz w:val="16"/>
                <w:szCs w:val="16"/>
                <w:shd w:val="clear" w:color="auto" w:fill="FCFCFC"/>
              </w:rPr>
              <w:t> Screening for Housing Instability: Providers’ Reflections on Addressing a Social Determinant of Health. </w:t>
            </w:r>
            <w:r w:rsidRPr="5BD5A03F" w:rsidR="7B9FA624">
              <w:rPr>
                <w:rFonts w:ascii="Calibri" w:hAnsi="Calibri" w:cs="Calibri" w:asciiTheme="minorAscii" w:hAnsiTheme="minorAscii" w:cstheme="minorAscii"/>
                <w:b w:val="0"/>
                <w:bCs w:val="0"/>
                <w:i w:val="1"/>
                <w:iCs w:val="1"/>
                <w:sz w:val="16"/>
                <w:szCs w:val="16"/>
              </w:rPr>
              <w:t>J GEN INTERN MED. 2019; </w:t>
            </w:r>
            <w:r w:rsidRPr="5BD5A03F" w:rsidR="7B9FA624">
              <w:rPr>
                <w:rFonts w:ascii="Calibri" w:hAnsi="Calibri" w:cs="Calibri" w:asciiTheme="minorAscii" w:hAnsiTheme="minorAscii" w:cstheme="minorAscii"/>
                <w:b w:val="0"/>
                <w:bCs w:val="0"/>
                <w:sz w:val="16"/>
                <w:szCs w:val="16"/>
              </w:rPr>
              <w:t>34, </w:t>
            </w:r>
            <w:r w:rsidRPr="5BD5A03F" w:rsidR="7B9FA624">
              <w:rPr>
                <w:rFonts w:ascii="Calibri" w:hAnsi="Calibri" w:cs="Calibri" w:asciiTheme="minorAscii" w:hAnsiTheme="minorAscii" w:cstheme="minorAscii"/>
                <w:b w:val="0"/>
                <w:bCs w:val="0"/>
                <w:sz w:val="16"/>
                <w:szCs w:val="16"/>
                <w:shd w:val="clear" w:color="auto" w:fill="FCFCFC"/>
              </w:rPr>
              <w:t xml:space="preserve">1213–1219. </w:t>
            </w:r>
          </w:p>
          <w:p w:rsidRPr="003C48A2" w:rsidR="00EA6BE2" w:rsidP="5BD5A03F" w:rsidRDefault="00EA6BE2" w14:paraId="35687BCD" w14:textId="77777777">
            <w:pPr>
              <w:pStyle w:val="ListParagraph"/>
              <w:numPr>
                <w:ilvl w:val="0"/>
                <w:numId w:val="5"/>
              </w:numPr>
              <w:rPr>
                <w:rStyle w:val="apple-converted-space"/>
                <w:rFonts w:ascii="Calibri" w:hAnsi="Calibri" w:cs="Calibri" w:asciiTheme="minorAscii" w:hAnsiTheme="minorAscii" w:cstheme="minorAscii"/>
                <w:b w:val="0"/>
                <w:bCs w:val="0"/>
                <w:color w:val="333333"/>
                <w:sz w:val="16"/>
                <w:szCs w:val="16"/>
              </w:rPr>
            </w:pPr>
            <w:r w:rsidRPr="5BD5A03F" w:rsidR="7B9FA624">
              <w:rPr>
                <w:rStyle w:val="hlfld-contribauthor"/>
                <w:rFonts w:ascii="Calibri" w:hAnsi="Calibri" w:cs="Calibri" w:asciiTheme="minorAscii" w:hAnsiTheme="minorAscii" w:cstheme="minorAscii"/>
                <w:b w:val="0"/>
                <w:bCs w:val="0"/>
                <w:color w:val="333333"/>
                <w:sz w:val="16"/>
                <w:szCs w:val="16"/>
              </w:rPr>
              <w:t>Kreuter</w:t>
            </w:r>
            <w:r w:rsidRPr="5BD5A03F" w:rsidR="7B9FA624">
              <w:rPr>
                <w:rStyle w:val="hlfld-contribauthor"/>
                <w:rFonts w:ascii="Calibri" w:hAnsi="Calibri" w:cs="Calibri" w:asciiTheme="minorAscii" w:hAnsiTheme="minorAscii" w:cstheme="minorAscii"/>
                <w:b w:val="0"/>
                <w:bCs w:val="0"/>
                <w:color w:val="333333"/>
                <w:sz w:val="16"/>
                <w:szCs w:val="16"/>
              </w:rPr>
              <w:t xml:space="preserve"> MW,</w:t>
            </w:r>
            <w:r w:rsidRPr="5BD5A03F" w:rsidR="7B9FA624">
              <w:rPr>
                <w:rStyle w:val="apple-converted-space"/>
                <w:rFonts w:ascii="Calibri" w:hAnsi="Calibri" w:cs="Calibri" w:asciiTheme="minorAscii" w:hAnsiTheme="minorAscii" w:cstheme="minorAscii"/>
                <w:b w:val="0"/>
                <w:bCs w:val="0"/>
                <w:color w:val="333333"/>
                <w:sz w:val="16"/>
                <w:szCs w:val="16"/>
              </w:rPr>
              <w:t> </w:t>
            </w:r>
            <w:r w:rsidRPr="5BD5A03F" w:rsidR="7B9FA624">
              <w:rPr>
                <w:rStyle w:val="hlfld-contribauthor"/>
                <w:rFonts w:ascii="Calibri" w:hAnsi="Calibri" w:cs="Calibri" w:asciiTheme="minorAscii" w:hAnsiTheme="minorAscii" w:cstheme="minorAscii"/>
                <w:b w:val="0"/>
                <w:bCs w:val="0"/>
                <w:color w:val="333333"/>
                <w:sz w:val="16"/>
                <w:szCs w:val="16"/>
              </w:rPr>
              <w:t>Thompson T</w:t>
            </w:r>
            <w:r w:rsidRPr="5BD5A03F" w:rsidR="7B9FA624">
              <w:rPr>
                <w:rFonts w:ascii="Calibri" w:hAnsi="Calibri" w:cs="Calibri" w:asciiTheme="minorAscii" w:hAnsiTheme="minorAscii" w:cstheme="minorAscii"/>
                <w:b w:val="0"/>
                <w:bCs w:val="0"/>
                <w:color w:val="333333"/>
                <w:sz w:val="16"/>
                <w:szCs w:val="16"/>
              </w:rPr>
              <w:t>,</w:t>
            </w:r>
            <w:r w:rsidRPr="5BD5A03F" w:rsidR="7B9FA624">
              <w:rPr>
                <w:rStyle w:val="apple-converted-space"/>
                <w:rFonts w:ascii="Calibri" w:hAnsi="Calibri" w:cs="Calibri" w:asciiTheme="minorAscii" w:hAnsiTheme="minorAscii" w:cstheme="minorAscii"/>
                <w:b w:val="0"/>
                <w:bCs w:val="0"/>
                <w:color w:val="333333"/>
                <w:sz w:val="16"/>
                <w:szCs w:val="16"/>
              </w:rPr>
              <w:t> </w:t>
            </w:r>
            <w:r w:rsidRPr="5BD5A03F" w:rsidR="7B9FA624">
              <w:rPr>
                <w:rStyle w:val="hlfld-contribauthor"/>
                <w:rFonts w:ascii="Calibri" w:hAnsi="Calibri" w:cs="Calibri" w:asciiTheme="minorAscii" w:hAnsiTheme="minorAscii" w:cstheme="minorAscii"/>
                <w:b w:val="0"/>
                <w:bCs w:val="0"/>
                <w:color w:val="333333"/>
                <w:sz w:val="16"/>
                <w:szCs w:val="16"/>
              </w:rPr>
              <w:t>McQueen A</w:t>
            </w:r>
            <w:r w:rsidRPr="5BD5A03F" w:rsidR="7B9FA624">
              <w:rPr>
                <w:rFonts w:ascii="Calibri" w:hAnsi="Calibri" w:cs="Calibri" w:asciiTheme="minorAscii" w:hAnsiTheme="minorAscii" w:cstheme="minorAscii"/>
                <w:b w:val="0"/>
                <w:bCs w:val="0"/>
                <w:color w:val="333333"/>
                <w:sz w:val="16"/>
                <w:szCs w:val="16"/>
              </w:rPr>
              <w:t>,</w:t>
            </w:r>
            <w:r w:rsidRPr="5BD5A03F" w:rsidR="7B9FA624">
              <w:rPr>
                <w:rStyle w:val="apple-converted-space"/>
                <w:rFonts w:ascii="Calibri" w:hAnsi="Calibri" w:cs="Calibri" w:asciiTheme="minorAscii" w:hAnsiTheme="minorAscii" w:cstheme="minorAscii"/>
                <w:b w:val="0"/>
                <w:bCs w:val="0"/>
                <w:color w:val="333333"/>
                <w:sz w:val="16"/>
                <w:szCs w:val="16"/>
              </w:rPr>
              <w:t> </w:t>
            </w:r>
            <w:r w:rsidRPr="5BD5A03F" w:rsidR="7B9FA624">
              <w:rPr>
                <w:rStyle w:val="hlfld-contribauthor"/>
                <w:rFonts w:ascii="Calibri" w:hAnsi="Calibri" w:cs="Calibri" w:asciiTheme="minorAscii" w:hAnsiTheme="minorAscii" w:cstheme="minorAscii"/>
                <w:b w:val="0"/>
                <w:bCs w:val="0"/>
                <w:color w:val="333333"/>
                <w:sz w:val="16"/>
                <w:szCs w:val="16"/>
              </w:rPr>
              <w:t xml:space="preserve">Garg R. </w:t>
            </w:r>
            <w:r w:rsidRPr="5BD5A03F" w:rsidR="7B9FA624">
              <w:rPr>
                <w:rFonts w:ascii="Calibri" w:hAnsi="Calibri" w:cs="Calibri" w:asciiTheme="minorAscii" w:hAnsiTheme="minorAscii" w:cstheme="minorAscii"/>
                <w:b w:val="0"/>
                <w:bCs w:val="0"/>
                <w:sz w:val="16"/>
                <w:szCs w:val="16"/>
              </w:rPr>
              <w:t xml:space="preserve">Addressing Social Needs in Health Care Settings: Evidence, Challenges, and Opportunities for Public Health. </w:t>
            </w:r>
            <w:r w:rsidRPr="5BD5A03F" w:rsidR="7B9FA624">
              <w:rPr>
                <w:rStyle w:val="journalname"/>
                <w:rFonts w:ascii="Calibri" w:hAnsi="Calibri" w:cs="Calibri" w:asciiTheme="minorAscii" w:hAnsiTheme="minorAscii" w:cstheme="minorAscii"/>
                <w:b w:val="0"/>
                <w:bCs w:val="0"/>
                <w:i w:val="1"/>
                <w:iCs w:val="1"/>
                <w:color w:val="333333"/>
                <w:sz w:val="16"/>
                <w:szCs w:val="16"/>
              </w:rPr>
              <w:t>Annual Review of Public Health.</w:t>
            </w:r>
            <w:r w:rsidRPr="5BD5A03F" w:rsidR="7B9FA624">
              <w:rPr>
                <w:rStyle w:val="apple-converted-space"/>
                <w:rFonts w:ascii="Calibri" w:hAnsi="Calibri" w:cs="Calibri" w:asciiTheme="minorAscii" w:hAnsiTheme="minorAscii" w:cstheme="minorAscii"/>
                <w:b w:val="0"/>
                <w:bCs w:val="0"/>
                <w:color w:val="333333"/>
                <w:sz w:val="16"/>
                <w:szCs w:val="16"/>
                <w:shd w:val="clear" w:color="auto" w:fill="FFFFFF"/>
              </w:rPr>
              <w:t> </w:t>
            </w:r>
            <w:r w:rsidRPr="5BD5A03F" w:rsidR="7B9FA624">
              <w:rPr>
                <w:rStyle w:val="year"/>
                <w:rFonts w:ascii="Calibri" w:hAnsi="Calibri" w:cs="Calibri" w:asciiTheme="minorAscii" w:hAnsiTheme="minorAscii" w:cstheme="minorAscii"/>
                <w:b w:val="0"/>
                <w:bCs w:val="0"/>
                <w:color w:val="333333"/>
                <w:sz w:val="16"/>
                <w:szCs w:val="16"/>
              </w:rPr>
              <w:t>2021</w:t>
            </w:r>
            <w:r w:rsidRPr="5BD5A03F" w:rsidR="7B9FA624">
              <w:rPr>
                <w:rStyle w:val="apple-converted-space"/>
                <w:rFonts w:ascii="Calibri" w:hAnsi="Calibri" w:cs="Calibri" w:asciiTheme="minorAscii" w:hAnsiTheme="minorAscii" w:cstheme="minorAscii"/>
                <w:b w:val="0"/>
                <w:bCs w:val="0"/>
                <w:color w:val="333333"/>
                <w:sz w:val="16"/>
                <w:szCs w:val="16"/>
                <w:shd w:val="clear" w:color="auto" w:fill="FFFFFF"/>
              </w:rPr>
              <w:t> </w:t>
            </w:r>
            <w:r w:rsidRPr="5BD5A03F" w:rsidR="7B9FA624">
              <w:rPr>
                <w:rStyle w:val="volume"/>
                <w:rFonts w:ascii="Calibri" w:hAnsi="Calibri" w:cs="Calibri" w:asciiTheme="minorAscii" w:hAnsiTheme="minorAscii" w:cstheme="minorAscii"/>
                <w:b w:val="0"/>
                <w:bCs w:val="0"/>
                <w:color w:val="333333"/>
                <w:sz w:val="16"/>
                <w:szCs w:val="16"/>
              </w:rPr>
              <w:t>42</w:t>
            </w:r>
            <w:r w:rsidRPr="5BD5A03F" w:rsidR="7B9FA624">
              <w:rPr>
                <w:rFonts w:ascii="Calibri" w:hAnsi="Calibri" w:cs="Calibri" w:asciiTheme="minorAscii" w:hAnsiTheme="minorAscii" w:cstheme="minorAscii"/>
                <w:b w:val="0"/>
                <w:bCs w:val="0"/>
                <w:color w:val="333333"/>
                <w:sz w:val="16"/>
                <w:szCs w:val="16"/>
                <w:shd w:val="clear" w:color="auto" w:fill="FFFFFF"/>
              </w:rPr>
              <w:t>:</w:t>
            </w:r>
            <w:r w:rsidRPr="5BD5A03F" w:rsidR="7B9FA624">
              <w:rPr>
                <w:rStyle w:val="issue"/>
                <w:rFonts w:ascii="Calibri" w:hAnsi="Calibri" w:cs="Calibri" w:asciiTheme="minorAscii" w:hAnsiTheme="minorAscii" w:cstheme="minorAscii"/>
                <w:b w:val="0"/>
                <w:bCs w:val="0"/>
                <w:color w:val="333333"/>
                <w:sz w:val="16"/>
                <w:szCs w:val="16"/>
              </w:rPr>
              <w:t>1</w:t>
            </w:r>
            <w:r w:rsidRPr="5BD5A03F" w:rsidR="7B9FA624">
              <w:rPr>
                <w:rFonts w:ascii="Calibri" w:hAnsi="Calibri" w:cs="Calibri" w:asciiTheme="minorAscii" w:hAnsiTheme="minorAscii" w:cstheme="minorAscii"/>
                <w:b w:val="0"/>
                <w:bCs w:val="0"/>
                <w:color w:val="333333"/>
                <w:sz w:val="16"/>
                <w:szCs w:val="16"/>
                <w:shd w:val="clear" w:color="auto" w:fill="FFFFFF"/>
              </w:rPr>
              <w:t>,</w:t>
            </w:r>
            <w:r w:rsidRPr="5BD5A03F" w:rsidR="7B9FA624">
              <w:rPr>
                <w:rStyle w:val="apple-converted-space"/>
                <w:rFonts w:ascii="Calibri" w:hAnsi="Calibri" w:cs="Calibri" w:asciiTheme="minorAscii" w:hAnsiTheme="minorAscii" w:cstheme="minorAscii"/>
                <w:b w:val="0"/>
                <w:bCs w:val="0"/>
                <w:color w:val="333333"/>
                <w:sz w:val="16"/>
                <w:szCs w:val="16"/>
                <w:shd w:val="clear" w:color="auto" w:fill="FFFFFF"/>
              </w:rPr>
              <w:t> </w:t>
            </w:r>
            <w:r w:rsidRPr="5BD5A03F" w:rsidR="7B9FA624">
              <w:rPr>
                <w:rStyle w:val="page"/>
                <w:rFonts w:ascii="Calibri" w:hAnsi="Calibri" w:cs="Calibri" w:asciiTheme="minorAscii" w:hAnsiTheme="minorAscii" w:cstheme="minorAscii"/>
                <w:b w:val="0"/>
                <w:bCs w:val="0"/>
                <w:color w:val="333333"/>
                <w:sz w:val="16"/>
                <w:szCs w:val="16"/>
              </w:rPr>
              <w:t>329-344</w:t>
            </w:r>
            <w:r w:rsidRPr="5BD5A03F" w:rsidR="7B9FA624">
              <w:rPr>
                <w:rStyle w:val="apple-converted-space"/>
                <w:rFonts w:ascii="Calibri" w:hAnsi="Calibri" w:cs="Calibri" w:asciiTheme="minorAscii" w:hAnsiTheme="minorAscii" w:cstheme="minorAscii"/>
                <w:b w:val="0"/>
                <w:bCs w:val="0"/>
                <w:color w:val="333333"/>
                <w:sz w:val="16"/>
                <w:szCs w:val="16"/>
              </w:rPr>
              <w:t>. Doi: https://doi.org/10.1146/annurev-publhealth-090419-102204.</w:t>
            </w:r>
          </w:p>
          <w:p w:rsidRPr="003C48A2" w:rsidR="00EA6BE2" w:rsidP="5BD5A03F" w:rsidRDefault="00EA6BE2" w14:paraId="0462369A" w14:textId="77777777">
            <w:pPr>
              <w:pStyle w:val="ListParagraph"/>
              <w:numPr>
                <w:ilvl w:val="0"/>
                <w:numId w:val="5"/>
              </w:numPr>
              <w:rPr>
                <w:rFonts w:ascii="Calibri" w:hAnsi="Calibri" w:cs="Calibri" w:asciiTheme="minorAscii" w:hAnsiTheme="minorAscii" w:cstheme="minorAscii"/>
                <w:b w:val="0"/>
                <w:bCs w:val="0"/>
                <w:color w:val="333333"/>
                <w:sz w:val="16"/>
                <w:szCs w:val="16"/>
              </w:rPr>
            </w:pPr>
            <w:r w:rsidRPr="5BD5A03F" w:rsidR="7B9FA624">
              <w:rPr>
                <w:rFonts w:ascii="Calibri" w:hAnsi="Calibri" w:cs="Calibri" w:asciiTheme="minorAscii" w:hAnsiTheme="minorAscii" w:cstheme="minorAscii"/>
                <w:b w:val="0"/>
                <w:bCs w:val="0"/>
                <w:color w:val="2A2A2A"/>
                <w:sz w:val="16"/>
                <w:szCs w:val="16"/>
                <w:shd w:val="clear" w:color="auto" w:fill="FFFFFF"/>
              </w:rPr>
              <w:t xml:space="preserve">Chen M, Tan X, </w:t>
            </w:r>
            <w:r w:rsidRPr="5BD5A03F" w:rsidR="7B9FA624">
              <w:rPr>
                <w:rFonts w:ascii="Calibri" w:hAnsi="Calibri" w:cs="Calibri" w:asciiTheme="minorAscii" w:hAnsiTheme="minorAscii" w:cstheme="minorAscii"/>
                <w:b w:val="0"/>
                <w:bCs w:val="0"/>
                <w:color w:val="2A2A2A"/>
                <w:sz w:val="16"/>
                <w:szCs w:val="16"/>
                <w:shd w:val="clear" w:color="auto" w:fill="FFFFFF"/>
              </w:rPr>
              <w:t>Padman</w:t>
            </w:r>
            <w:r w:rsidRPr="5BD5A03F" w:rsidR="7B9FA624">
              <w:rPr>
                <w:rFonts w:ascii="Calibri" w:hAnsi="Calibri" w:cs="Calibri" w:asciiTheme="minorAscii" w:hAnsiTheme="minorAscii" w:cstheme="minorAscii"/>
                <w:b w:val="0"/>
                <w:bCs w:val="0"/>
                <w:color w:val="2A2A2A"/>
                <w:sz w:val="16"/>
                <w:szCs w:val="16"/>
                <w:shd w:val="clear" w:color="auto" w:fill="FFFFFF"/>
              </w:rPr>
              <w:t xml:space="preserve"> R, Social determinants of health in electronic health records and their impact on analysis and risk prediction: A systematic review. </w:t>
            </w:r>
            <w:r w:rsidRPr="5BD5A03F" w:rsidR="7B9FA624">
              <w:rPr>
                <w:rFonts w:ascii="Calibri" w:hAnsi="Calibri" w:cs="Calibri" w:asciiTheme="minorAscii" w:hAnsiTheme="minorAscii" w:cstheme="minorAscii"/>
                <w:b w:val="0"/>
                <w:bCs w:val="0"/>
                <w:i w:val="1"/>
                <w:iCs w:val="1"/>
                <w:color w:val="2A2A2A"/>
                <w:sz w:val="16"/>
                <w:szCs w:val="16"/>
                <w:bdr w:val="none" w:color="auto" w:sz="0" w:space="0" w:frame="1"/>
              </w:rPr>
              <w:t>Journal of the American Medical Informatics Association</w:t>
            </w:r>
            <w:r w:rsidRPr="5BD5A03F" w:rsidR="7B9FA624">
              <w:rPr>
                <w:rFonts w:ascii="Calibri" w:hAnsi="Calibri" w:cs="Calibri" w:asciiTheme="minorAscii" w:hAnsiTheme="minorAscii" w:cstheme="minorAscii"/>
                <w:b w:val="0"/>
                <w:bCs w:val="0"/>
                <w:color w:val="2A2A2A"/>
                <w:sz w:val="16"/>
                <w:szCs w:val="16"/>
                <w:shd w:val="clear" w:color="auto" w:fill="FFFFFF"/>
              </w:rPr>
              <w:t>, 2020; 27(11), 1764–1773. Doi:  </w:t>
            </w:r>
            <w:r w:rsidRPr="5BD5A03F" w:rsidR="7B9FA624">
              <w:rPr>
                <w:rFonts w:ascii="Calibri" w:hAnsi="Calibri" w:cs="Calibri" w:asciiTheme="minorAscii" w:hAnsiTheme="minorAscii" w:cstheme="minorAscii"/>
                <w:b w:val="0"/>
                <w:bCs w:val="0"/>
                <w:color w:val="000000"/>
                <w:sz w:val="16"/>
                <w:szCs w:val="16"/>
                <w:bdr w:val="none" w:color="auto" w:sz="0" w:space="0" w:frame="1"/>
              </w:rPr>
              <w:t>https://doi.org/10.1093/jamia/ocaa143</w:t>
            </w:r>
          </w:p>
          <w:p w:rsidRPr="003C48A2" w:rsidR="00EA6BE2" w:rsidP="5BD5A03F" w:rsidRDefault="00EA6BE2" w14:paraId="46D55E3A" w14:textId="77777777">
            <w:pPr>
              <w:pStyle w:val="ListParagraph"/>
              <w:numPr>
                <w:ilvl w:val="0"/>
                <w:numId w:val="5"/>
              </w:numPr>
              <w:rPr>
                <w:rFonts w:ascii="Calibri" w:hAnsi="Calibri" w:cs="Calibri" w:asciiTheme="minorAscii" w:hAnsiTheme="minorAscii" w:cstheme="minorAscii"/>
                <w:b w:val="0"/>
                <w:bCs w:val="0"/>
                <w:color w:val="333333"/>
                <w:sz w:val="16"/>
                <w:szCs w:val="16"/>
              </w:rPr>
            </w:pPr>
            <w:r w:rsidRPr="5BD5A03F" w:rsidR="7B9FA624">
              <w:rPr>
                <w:rFonts w:ascii="Calibri" w:hAnsi="Calibri" w:cs="Calibri" w:asciiTheme="minorAscii" w:hAnsiTheme="minorAscii" w:cstheme="minorAscii"/>
                <w:b w:val="0"/>
                <w:bCs w:val="0"/>
                <w:sz w:val="16"/>
                <w:szCs w:val="16"/>
                <w:bdr w:val="none" w:color="auto" w:sz="0" w:space="0" w:frame="1"/>
              </w:rPr>
              <w:t>Tong ST, </w:t>
            </w:r>
            <w:r w:rsidRPr="5BD5A03F" w:rsidR="7B9FA624">
              <w:rPr>
                <w:rFonts w:ascii="Calibri" w:hAnsi="Calibri" w:cs="Calibri" w:asciiTheme="minorAscii" w:hAnsiTheme="minorAscii" w:cstheme="minorAscii"/>
                <w:b w:val="0"/>
                <w:bCs w:val="0"/>
                <w:sz w:val="16"/>
                <w:szCs w:val="16"/>
                <w:bdr w:val="none" w:color="auto" w:sz="0" w:space="0" w:frame="1"/>
              </w:rPr>
              <w:t>Liaw</w:t>
            </w:r>
            <w:r w:rsidRPr="5BD5A03F" w:rsidR="7B9FA624">
              <w:rPr>
                <w:rFonts w:ascii="Calibri" w:hAnsi="Calibri" w:cs="Calibri" w:asciiTheme="minorAscii" w:hAnsiTheme="minorAscii" w:cstheme="minorAscii"/>
                <w:b w:val="0"/>
                <w:bCs w:val="0"/>
                <w:sz w:val="16"/>
                <w:szCs w:val="16"/>
                <w:bdr w:val="none" w:color="auto" w:sz="0" w:space="0" w:frame="1"/>
              </w:rPr>
              <w:t xml:space="preserve"> WR, </w:t>
            </w:r>
            <w:r w:rsidRPr="5BD5A03F" w:rsidR="7B9FA624">
              <w:rPr>
                <w:rFonts w:ascii="Calibri" w:hAnsi="Calibri" w:cs="Calibri" w:asciiTheme="minorAscii" w:hAnsiTheme="minorAscii" w:cstheme="minorAscii"/>
                <w:b w:val="0"/>
                <w:bCs w:val="0"/>
                <w:sz w:val="16"/>
                <w:szCs w:val="16"/>
                <w:bdr w:val="none" w:color="auto" w:sz="0" w:space="0" w:frame="1"/>
              </w:rPr>
              <w:t>Kashiri</w:t>
            </w:r>
            <w:r w:rsidRPr="5BD5A03F" w:rsidR="7B9FA624">
              <w:rPr>
                <w:rFonts w:ascii="Calibri" w:hAnsi="Calibri" w:cs="Calibri" w:asciiTheme="minorAscii" w:hAnsiTheme="minorAscii" w:cstheme="minorAscii"/>
                <w:b w:val="0"/>
                <w:bCs w:val="0"/>
                <w:sz w:val="16"/>
                <w:szCs w:val="16"/>
                <w:bdr w:val="none" w:color="auto" w:sz="0" w:space="0" w:frame="1"/>
              </w:rPr>
              <w:t xml:space="preserve"> PL, </w:t>
            </w:r>
            <w:r w:rsidRPr="5BD5A03F" w:rsidR="7B9FA624">
              <w:rPr>
                <w:rFonts w:ascii="Calibri" w:hAnsi="Calibri" w:cs="Calibri" w:asciiTheme="minorAscii" w:hAnsiTheme="minorAscii" w:cstheme="minorAscii"/>
                <w:b w:val="0"/>
                <w:bCs w:val="0"/>
                <w:sz w:val="16"/>
                <w:szCs w:val="16"/>
                <w:bdr w:val="none" w:color="auto" w:sz="0" w:space="0" w:frame="1"/>
              </w:rPr>
              <w:t>Pecsok</w:t>
            </w:r>
            <w:r w:rsidRPr="5BD5A03F" w:rsidR="7B9FA624">
              <w:rPr>
                <w:rFonts w:ascii="Calibri" w:hAnsi="Calibri" w:cs="Calibri" w:asciiTheme="minorAscii" w:hAnsiTheme="minorAscii" w:cstheme="minorAscii"/>
                <w:b w:val="0"/>
                <w:bCs w:val="0"/>
                <w:sz w:val="16"/>
                <w:szCs w:val="16"/>
                <w:bdr w:val="none" w:color="auto" w:sz="0" w:space="0" w:frame="1"/>
              </w:rPr>
              <w:t xml:space="preserve"> J, </w:t>
            </w:r>
            <w:r w:rsidRPr="5BD5A03F" w:rsidR="7B9FA624">
              <w:rPr>
                <w:rFonts w:ascii="Calibri" w:hAnsi="Calibri" w:cs="Calibri" w:asciiTheme="minorAscii" w:hAnsiTheme="minorAscii" w:cstheme="minorAscii"/>
                <w:b w:val="0"/>
                <w:bCs w:val="0"/>
                <w:sz w:val="16"/>
                <w:szCs w:val="16"/>
                <w:bdr w:val="none" w:color="auto" w:sz="0" w:space="0" w:frame="1"/>
              </w:rPr>
              <w:t>Rozman</w:t>
            </w:r>
            <w:r w:rsidRPr="5BD5A03F" w:rsidR="7B9FA624">
              <w:rPr>
                <w:rFonts w:ascii="Calibri" w:hAnsi="Calibri" w:cs="Calibri" w:asciiTheme="minorAscii" w:hAnsiTheme="minorAscii" w:cstheme="minorAscii"/>
                <w:b w:val="0"/>
                <w:bCs w:val="0"/>
                <w:sz w:val="16"/>
                <w:szCs w:val="16"/>
                <w:bdr w:val="none" w:color="auto" w:sz="0" w:space="0" w:frame="1"/>
              </w:rPr>
              <w:t xml:space="preserve"> J, Bazemore AW, </w:t>
            </w:r>
            <w:r w:rsidRPr="5BD5A03F" w:rsidR="7B9FA624">
              <w:rPr>
                <w:rFonts w:ascii="Calibri" w:hAnsi="Calibri" w:cs="Calibri" w:asciiTheme="minorAscii" w:hAnsiTheme="minorAscii" w:cstheme="minorAscii"/>
                <w:b w:val="0"/>
                <w:bCs w:val="0"/>
                <w:sz w:val="16"/>
                <w:szCs w:val="16"/>
                <w:bdr w:val="none" w:color="auto" w:sz="0" w:space="0" w:frame="1"/>
              </w:rPr>
              <w:t>Krist</w:t>
            </w:r>
            <w:r w:rsidRPr="5BD5A03F" w:rsidR="7B9FA624">
              <w:rPr>
                <w:rFonts w:ascii="Calibri" w:hAnsi="Calibri" w:cs="Calibri" w:asciiTheme="minorAscii" w:hAnsiTheme="minorAscii" w:cstheme="minorAscii"/>
                <w:b w:val="0"/>
                <w:bCs w:val="0"/>
                <w:sz w:val="16"/>
                <w:szCs w:val="16"/>
                <w:bdr w:val="none" w:color="auto" w:sz="0" w:space="0" w:frame="1"/>
              </w:rPr>
              <w:t xml:space="preserve"> AH. Clinical experiences of screening for social needs in primary care.  </w:t>
            </w:r>
            <w:r w:rsidRPr="5BD5A03F" w:rsidR="7B9FA624">
              <w:rPr>
                <w:rFonts w:ascii="Calibri" w:hAnsi="Calibri" w:cs="Calibri" w:asciiTheme="minorAscii" w:hAnsiTheme="minorAscii" w:cstheme="minorAscii"/>
                <w:b w:val="0"/>
                <w:bCs w:val="0"/>
                <w:i w:val="1"/>
                <w:iCs w:val="1"/>
                <w:sz w:val="16"/>
                <w:szCs w:val="16"/>
                <w:bdr w:val="none" w:color="auto" w:sz="0" w:space="0" w:frame="1"/>
              </w:rPr>
              <w:t xml:space="preserve">Journal of the American Board of Family Medicine, </w:t>
            </w:r>
            <w:r w:rsidRPr="5BD5A03F" w:rsidR="7B9FA624">
              <w:rPr>
                <w:rFonts w:ascii="Calibri" w:hAnsi="Calibri" w:cs="Calibri" w:asciiTheme="minorAscii" w:hAnsiTheme="minorAscii" w:cstheme="minorAscii"/>
                <w:b w:val="0"/>
                <w:bCs w:val="0"/>
                <w:sz w:val="16"/>
                <w:szCs w:val="16"/>
                <w:bdr w:val="none" w:color="auto" w:sz="0" w:space="0" w:frame="1"/>
              </w:rPr>
              <w:t>2018; 31(3): 351-363. Doi:10.3122/jabfm.2018.03.170419</w:t>
            </w:r>
          </w:p>
          <w:p w:rsidRPr="003C48A2" w:rsidR="00EA6BE2" w:rsidP="5BD5A03F" w:rsidRDefault="00EA6BE2" w14:paraId="028CBE53" w14:textId="77777777">
            <w:pPr>
              <w:pStyle w:val="ListParagraph"/>
              <w:numPr>
                <w:ilvl w:val="0"/>
                <w:numId w:val="5"/>
              </w:numPr>
              <w:rPr>
                <w:rFonts w:ascii="Calibri" w:hAnsi="Calibri" w:cs="Calibri" w:asciiTheme="minorAscii" w:hAnsiTheme="minorAscii" w:cstheme="minorAscii"/>
                <w:b w:val="0"/>
                <w:bCs w:val="0"/>
                <w:color w:val="333333"/>
                <w:sz w:val="16"/>
                <w:szCs w:val="16"/>
              </w:rPr>
            </w:pPr>
            <w:r w:rsidRPr="5BD5A03F" w:rsidR="7B9FA624">
              <w:rPr>
                <w:rFonts w:ascii="Calibri" w:hAnsi="Calibri" w:cs="Calibri" w:asciiTheme="minorAscii" w:hAnsiTheme="minorAscii" w:cstheme="minorAscii"/>
                <w:b w:val="0"/>
                <w:bCs w:val="0"/>
                <w:sz w:val="16"/>
                <w:szCs w:val="16"/>
              </w:rPr>
              <w:t xml:space="preserve">Krieger N. Overcoming the absence of socio-economic data in medical records: validation and application of a census- based methodology. </w:t>
            </w:r>
            <w:r w:rsidRPr="5BD5A03F" w:rsidR="7B9FA624">
              <w:rPr>
                <w:rFonts w:ascii="Calibri" w:hAnsi="Calibri" w:cs="Calibri" w:asciiTheme="minorAscii" w:hAnsiTheme="minorAscii" w:cstheme="minorAscii"/>
                <w:b w:val="0"/>
                <w:bCs w:val="0"/>
                <w:i w:val="1"/>
                <w:iCs w:val="1"/>
                <w:sz w:val="16"/>
                <w:szCs w:val="16"/>
              </w:rPr>
              <w:t xml:space="preserve">Am J Public Health, </w:t>
            </w:r>
            <w:r w:rsidRPr="5BD5A03F" w:rsidR="7B9FA624">
              <w:rPr>
                <w:rFonts w:ascii="Calibri" w:hAnsi="Calibri" w:cs="Calibri" w:asciiTheme="minorAscii" w:hAnsiTheme="minorAscii" w:cstheme="minorAscii"/>
                <w:b w:val="0"/>
                <w:bCs w:val="0"/>
                <w:sz w:val="16"/>
                <w:szCs w:val="16"/>
              </w:rPr>
              <w:t>1992;82:703–10.</w:t>
            </w:r>
          </w:p>
          <w:p w:rsidRPr="003C48A2" w:rsidR="00EA6BE2" w:rsidP="5BD5A03F" w:rsidRDefault="00EA6BE2" w14:paraId="6C6E352A" w14:textId="77777777">
            <w:pPr>
              <w:pStyle w:val="ListParagraph"/>
              <w:numPr>
                <w:ilvl w:val="0"/>
                <w:numId w:val="5"/>
              </w:numPr>
              <w:rPr>
                <w:rFonts w:ascii="Calibri" w:hAnsi="Calibri" w:cs="Calibri" w:asciiTheme="minorAscii" w:hAnsiTheme="minorAscii" w:cstheme="minorAscii"/>
                <w:b w:val="0"/>
                <w:bCs w:val="0"/>
                <w:color w:val="333333"/>
                <w:sz w:val="16"/>
                <w:szCs w:val="16"/>
              </w:rPr>
            </w:pPr>
            <w:r w:rsidRPr="5BD5A03F" w:rsidR="7B9FA624">
              <w:rPr>
                <w:rFonts w:ascii="Calibri" w:hAnsi="Calibri" w:cs="Calibri" w:asciiTheme="minorAscii" w:hAnsiTheme="minorAscii" w:cstheme="minorAscii"/>
                <w:b w:val="0"/>
                <w:bCs w:val="0"/>
                <w:color w:val="212121"/>
                <w:sz w:val="16"/>
                <w:szCs w:val="16"/>
                <w:shd w:val="clear" w:color="auto" w:fill="FFFFFF"/>
              </w:rPr>
              <w:t xml:space="preserve">Robert SA, </w:t>
            </w:r>
            <w:proofErr w:type="spellStart"/>
            <w:r w:rsidRPr="5BD5A03F" w:rsidR="7B9FA624">
              <w:rPr>
                <w:rFonts w:ascii="Calibri" w:hAnsi="Calibri" w:cs="Calibri" w:asciiTheme="minorAscii" w:hAnsiTheme="minorAscii" w:cstheme="minorAscii"/>
                <w:b w:val="0"/>
                <w:bCs w:val="0"/>
                <w:color w:val="212121"/>
                <w:sz w:val="16"/>
                <w:szCs w:val="16"/>
                <w:shd w:val="clear" w:color="auto" w:fill="FFFFFF"/>
              </w:rPr>
              <w:t>Strombom</w:t>
            </w:r>
            <w:proofErr w:type="spellEnd"/>
            <w:r w:rsidRPr="5BD5A03F" w:rsidR="7B9FA624">
              <w:rPr>
                <w:rFonts w:ascii="Calibri" w:hAnsi="Calibri" w:cs="Calibri" w:asciiTheme="minorAscii" w:hAnsiTheme="minorAscii" w:cstheme="minorAscii"/>
                <w:b w:val="0"/>
                <w:bCs w:val="0"/>
                <w:color w:val="212121"/>
                <w:sz w:val="16"/>
                <w:szCs w:val="16"/>
                <w:shd w:val="clear" w:color="auto" w:fill="FFFFFF"/>
              </w:rPr>
              <w:t xml:space="preserve"> I, Trentham-Dietz A, Hampton JM, McElroy JA, Newcomb PA, Remington PL. Socioeconomic risk factors for breast cancer: distinguishing individual- and community-level effects. </w:t>
            </w:r>
            <w:r w:rsidRPr="5BD5A03F" w:rsidR="7B9FA624">
              <w:rPr>
                <w:rFonts w:ascii="Calibri" w:hAnsi="Calibri" w:cs="Calibri" w:asciiTheme="minorAscii" w:hAnsiTheme="minorAscii" w:cstheme="minorAscii"/>
                <w:b w:val="0"/>
                <w:bCs w:val="0"/>
                <w:i w:val="1"/>
                <w:iCs w:val="1"/>
                <w:color w:val="212121"/>
                <w:sz w:val="16"/>
                <w:szCs w:val="16"/>
                <w:shd w:val="clear" w:color="auto" w:fill="FFFFFF"/>
              </w:rPr>
              <w:t>Epidemiology,</w:t>
            </w:r>
            <w:r w:rsidRPr="5BD5A03F" w:rsidR="7B9FA624">
              <w:rPr>
                <w:rFonts w:ascii="Calibri" w:hAnsi="Calibri" w:cs="Calibri" w:asciiTheme="minorAscii" w:hAnsiTheme="minorAscii" w:cstheme="minorAscii"/>
                <w:b w:val="0"/>
                <w:bCs w:val="0"/>
                <w:color w:val="212121"/>
                <w:sz w:val="16"/>
                <w:szCs w:val="16"/>
                <w:shd w:val="clear" w:color="auto" w:fill="FFFFFF"/>
              </w:rPr>
              <w:t xml:space="preserve"> 2004;15(4):442-50. Doi: 10.1097/01.ede.0000129512.61698.03.</w:t>
            </w:r>
          </w:p>
          <w:p w:rsidRPr="003C48A2" w:rsidR="00EA6BE2" w:rsidP="5BD5A03F" w:rsidRDefault="00EA6BE2" w14:paraId="5AFA833F" w14:textId="77777777">
            <w:pPr>
              <w:pStyle w:val="ListParagraph"/>
              <w:numPr>
                <w:ilvl w:val="0"/>
                <w:numId w:val="5"/>
              </w:numPr>
              <w:rPr>
                <w:rFonts w:ascii="Calibri" w:hAnsi="Calibri" w:cs="Calibri" w:asciiTheme="minorAscii" w:hAnsiTheme="minorAscii" w:cstheme="minorAscii"/>
                <w:b w:val="0"/>
                <w:bCs w:val="0"/>
                <w:color w:val="333333"/>
                <w:sz w:val="16"/>
                <w:szCs w:val="16"/>
              </w:rPr>
            </w:pPr>
            <w:proofErr w:type="spellStart"/>
            <w:r w:rsidRPr="5BD5A03F" w:rsidR="7B9FA624">
              <w:rPr>
                <w:rFonts w:ascii="Calibri" w:hAnsi="Calibri" w:cs="Calibri" w:asciiTheme="minorAscii" w:hAnsiTheme="minorAscii" w:cstheme="minorAscii"/>
                <w:b w:val="0"/>
                <w:bCs w:val="0"/>
                <w:sz w:val="16"/>
                <w:szCs w:val="16"/>
              </w:rPr>
              <w:t>Pampalon</w:t>
            </w:r>
            <w:proofErr w:type="spellEnd"/>
            <w:r w:rsidRPr="5BD5A03F" w:rsidR="7B9FA624">
              <w:rPr>
                <w:rFonts w:ascii="Calibri" w:hAnsi="Calibri" w:cs="Calibri" w:asciiTheme="minorAscii" w:hAnsiTheme="minorAscii" w:cstheme="minorAscii"/>
                <w:b w:val="0"/>
                <w:bCs w:val="0"/>
                <w:sz w:val="16"/>
                <w:szCs w:val="16"/>
              </w:rPr>
              <w:t xml:space="preserve"> R, </w:t>
            </w:r>
            <w:proofErr w:type="spellStart"/>
            <w:r w:rsidRPr="5BD5A03F" w:rsidR="7B9FA624">
              <w:rPr>
                <w:rFonts w:ascii="Calibri" w:hAnsi="Calibri" w:cs="Calibri" w:asciiTheme="minorAscii" w:hAnsiTheme="minorAscii" w:cstheme="minorAscii"/>
                <w:b w:val="0"/>
                <w:bCs w:val="0"/>
                <w:sz w:val="16"/>
                <w:szCs w:val="16"/>
              </w:rPr>
              <w:t>Hame</w:t>
            </w:r>
            <w:proofErr w:type="spellEnd"/>
            <w:r w:rsidRPr="5BD5A03F" w:rsidR="7B9FA624">
              <w:rPr>
                <w:rFonts w:ascii="Calibri" w:hAnsi="Calibri" w:cs="Calibri" w:asciiTheme="minorAscii" w:hAnsiTheme="minorAscii" w:cstheme="minorAscii"/>
                <w:b w:val="0"/>
                <w:bCs w:val="0"/>
                <w:sz w:val="16"/>
                <w:szCs w:val="16"/>
              </w:rPr>
              <w:t xml:space="preserve"> D, Gamache P. A comparison of individual and area-based socio-economic data for monitoring social inequalities in health. </w:t>
            </w:r>
            <w:r w:rsidRPr="5BD5A03F" w:rsidR="7B9FA624">
              <w:rPr>
                <w:rFonts w:ascii="Calibri" w:hAnsi="Calibri" w:cs="Calibri" w:asciiTheme="minorAscii" w:hAnsiTheme="minorAscii" w:cstheme="minorAscii"/>
                <w:b w:val="0"/>
                <w:bCs w:val="0"/>
                <w:i w:val="1"/>
                <w:iCs w:val="1"/>
                <w:sz w:val="16"/>
                <w:szCs w:val="16"/>
              </w:rPr>
              <w:t xml:space="preserve">Component of Statistics Canada Catalogue Health Reports, </w:t>
            </w:r>
            <w:r w:rsidRPr="5BD5A03F" w:rsidR="7B9FA624">
              <w:rPr>
                <w:rFonts w:ascii="Calibri" w:hAnsi="Calibri" w:cs="Calibri" w:asciiTheme="minorAscii" w:hAnsiTheme="minorAscii" w:cstheme="minorAscii"/>
                <w:b w:val="0"/>
                <w:bCs w:val="0"/>
                <w:sz w:val="16"/>
                <w:szCs w:val="16"/>
              </w:rPr>
              <w:t>2009; 20(3): 85-94.</w:t>
            </w:r>
          </w:p>
          <w:p w:rsidRPr="003C48A2" w:rsidR="00EA6BE2" w:rsidP="5BD5A03F" w:rsidRDefault="00EA6BE2" w14:paraId="5789E386" w14:textId="77777777">
            <w:pPr>
              <w:pStyle w:val="ListParagraph"/>
              <w:numPr>
                <w:ilvl w:val="0"/>
                <w:numId w:val="5"/>
              </w:numPr>
              <w:rPr>
                <w:rFonts w:ascii="Calibri" w:hAnsi="Calibri" w:cs="Calibri" w:asciiTheme="minorAscii" w:hAnsiTheme="minorAscii" w:cstheme="minorAscii"/>
                <w:b w:val="0"/>
                <w:bCs w:val="0"/>
                <w:color w:val="333333"/>
                <w:sz w:val="16"/>
                <w:szCs w:val="16"/>
              </w:rPr>
            </w:pPr>
            <w:r w:rsidRPr="5BD5A03F" w:rsidR="7B9FA624">
              <w:rPr>
                <w:rFonts w:ascii="Calibri" w:hAnsi="Calibri" w:cs="Calibri" w:asciiTheme="minorAscii" w:hAnsiTheme="minorAscii" w:cstheme="minorAscii"/>
                <w:b w:val="0"/>
                <w:bCs w:val="0"/>
                <w:sz w:val="16"/>
                <w:szCs w:val="16"/>
              </w:rPr>
              <w:t xml:space="preserve">Mustard CA, </w:t>
            </w:r>
            <w:r w:rsidRPr="5BD5A03F" w:rsidR="7B9FA624">
              <w:rPr>
                <w:rFonts w:ascii="Calibri" w:hAnsi="Calibri" w:cs="Calibri" w:asciiTheme="minorAscii" w:hAnsiTheme="minorAscii" w:cstheme="minorAscii"/>
                <w:b w:val="0"/>
                <w:bCs w:val="0"/>
                <w:sz w:val="16"/>
                <w:szCs w:val="16"/>
              </w:rPr>
              <w:t>Derksen</w:t>
            </w:r>
            <w:r w:rsidRPr="5BD5A03F" w:rsidR="7B9FA624">
              <w:rPr>
                <w:rFonts w:ascii="Calibri" w:hAnsi="Calibri" w:cs="Calibri" w:asciiTheme="minorAscii" w:hAnsiTheme="minorAscii" w:cstheme="minorAscii"/>
                <w:b w:val="0"/>
                <w:bCs w:val="0"/>
                <w:sz w:val="16"/>
                <w:szCs w:val="16"/>
              </w:rPr>
              <w:t xml:space="preserve"> S, Berthelot JM, Wolfson M. Assessing ecologic proxies for household income: a comparison of household and neighbourhood level income measures in the study of population health status. </w:t>
            </w:r>
            <w:r w:rsidRPr="5BD5A03F" w:rsidR="7B9FA624">
              <w:rPr>
                <w:rFonts w:ascii="Calibri" w:hAnsi="Calibri" w:cs="Calibri" w:asciiTheme="minorAscii" w:hAnsiTheme="minorAscii" w:cstheme="minorAscii"/>
                <w:b w:val="0"/>
                <w:bCs w:val="0"/>
                <w:i w:val="1"/>
                <w:iCs w:val="1"/>
                <w:sz w:val="16"/>
                <w:szCs w:val="16"/>
              </w:rPr>
              <w:t xml:space="preserve">Health and Place, </w:t>
            </w:r>
            <w:r w:rsidRPr="5BD5A03F" w:rsidR="7B9FA624">
              <w:rPr>
                <w:rFonts w:ascii="Calibri" w:hAnsi="Calibri" w:cs="Calibri" w:asciiTheme="minorAscii" w:hAnsiTheme="minorAscii" w:cstheme="minorAscii"/>
                <w:b w:val="0"/>
                <w:bCs w:val="0"/>
                <w:sz w:val="16"/>
                <w:szCs w:val="16"/>
              </w:rPr>
              <w:t>1999; 5(2): 157-71.</w:t>
            </w:r>
          </w:p>
          <w:p w:rsidRPr="003C48A2" w:rsidR="00EA6BE2" w:rsidP="5BD5A03F" w:rsidRDefault="00EA6BE2" w14:paraId="5FEA6B23" w14:textId="77777777">
            <w:pPr>
              <w:pStyle w:val="ListParagraph"/>
              <w:numPr>
                <w:ilvl w:val="0"/>
                <w:numId w:val="5"/>
              </w:numPr>
              <w:rPr>
                <w:rFonts w:ascii="Calibri" w:hAnsi="Calibri" w:cs="Calibri" w:asciiTheme="minorAscii" w:hAnsiTheme="minorAscii" w:cstheme="minorAscii"/>
                <w:b w:val="0"/>
                <w:bCs w:val="0"/>
                <w:color w:val="333333"/>
                <w:sz w:val="16"/>
                <w:szCs w:val="16"/>
              </w:rPr>
            </w:pPr>
            <w:r w:rsidRPr="5BD5A03F" w:rsidR="7B9FA624">
              <w:rPr>
                <w:rFonts w:ascii="Calibri" w:hAnsi="Calibri" w:cs="Calibri" w:asciiTheme="minorAscii" w:hAnsiTheme="minorAscii" w:cstheme="minorAscii"/>
                <w:b w:val="0"/>
                <w:bCs w:val="0"/>
                <w:sz w:val="16"/>
                <w:szCs w:val="16"/>
              </w:rPr>
              <w:t xml:space="preserve">Molina AL, Molina Y, Walley SC, Wu CL, Zhu A, Oates G. Residential Instability, neighbourhood deprivation, and paediatric asthma outcomes. </w:t>
            </w:r>
            <w:proofErr w:type="spellStart"/>
            <w:r w:rsidRPr="5BD5A03F" w:rsidR="7B9FA624">
              <w:rPr>
                <w:rFonts w:ascii="Calibri" w:hAnsi="Calibri" w:cs="Calibri" w:asciiTheme="minorAscii" w:hAnsiTheme="minorAscii" w:cstheme="minorAscii"/>
                <w:b w:val="0"/>
                <w:bCs w:val="0"/>
                <w:i w:val="1"/>
                <w:iCs w:val="1"/>
                <w:sz w:val="16"/>
                <w:szCs w:val="16"/>
              </w:rPr>
              <w:t>Pediatric</w:t>
            </w:r>
            <w:proofErr w:type="spellEnd"/>
            <w:r w:rsidRPr="5BD5A03F" w:rsidR="7B9FA624">
              <w:rPr>
                <w:rFonts w:ascii="Calibri" w:hAnsi="Calibri" w:cs="Calibri" w:asciiTheme="minorAscii" w:hAnsiTheme="minorAscii" w:cstheme="minorAscii"/>
                <w:b w:val="0"/>
                <w:bCs w:val="0"/>
                <w:i w:val="1"/>
                <w:iCs w:val="1"/>
                <w:sz w:val="16"/>
                <w:szCs w:val="16"/>
              </w:rPr>
              <w:t xml:space="preserve"> Pulmonology, </w:t>
            </w:r>
            <w:r w:rsidRPr="5BD5A03F" w:rsidR="7B9FA624">
              <w:rPr>
                <w:rFonts w:ascii="Calibri" w:hAnsi="Calibri" w:cs="Calibri" w:asciiTheme="minorAscii" w:hAnsiTheme="minorAscii" w:cstheme="minorAscii"/>
                <w:b w:val="0"/>
                <w:bCs w:val="0"/>
                <w:sz w:val="16"/>
                <w:szCs w:val="16"/>
              </w:rPr>
              <w:t>2020; 55(6): 1340-1348.</w:t>
            </w:r>
          </w:p>
          <w:p w:rsidRPr="003C48A2" w:rsidR="00EA6BE2" w:rsidP="5BD5A03F" w:rsidRDefault="00EA6BE2" w14:paraId="3F1D074A" w14:textId="77777777">
            <w:pPr>
              <w:pStyle w:val="ListParagraph"/>
              <w:numPr>
                <w:ilvl w:val="0"/>
                <w:numId w:val="5"/>
              </w:numPr>
              <w:rPr>
                <w:rFonts w:ascii="Calibri" w:hAnsi="Calibri" w:cs="Calibri" w:asciiTheme="minorAscii" w:hAnsiTheme="minorAscii" w:cstheme="minorAscii"/>
                <w:b w:val="0"/>
                <w:bCs w:val="0"/>
                <w:color w:val="333333"/>
                <w:sz w:val="16"/>
                <w:szCs w:val="16"/>
              </w:rPr>
            </w:pPr>
            <w:r w:rsidRPr="5BD5A03F" w:rsidR="7B9FA624">
              <w:rPr>
                <w:rFonts w:ascii="Calibri" w:hAnsi="Calibri" w:cs="Calibri" w:asciiTheme="minorAscii" w:hAnsiTheme="minorAscii" w:cstheme="minorAscii"/>
                <w:b w:val="0"/>
                <w:bCs w:val="0"/>
                <w:color w:val="303030"/>
                <w:sz w:val="16"/>
                <w:szCs w:val="16"/>
                <w:shd w:val="clear" w:color="auto" w:fill="FFFFFF"/>
              </w:rPr>
              <w:t>Forbes L, Harvey S, Newson R, et al. Risk factors for accident and emergency (A&amp;E) attendance for asthma in inner city children.</w:t>
            </w:r>
            <w:r w:rsidRPr="5BD5A03F" w:rsidR="7B9FA624">
              <w:rPr>
                <w:rStyle w:val="apple-converted-space"/>
                <w:rFonts w:ascii="Calibri" w:hAnsi="Calibri" w:cs="Calibri" w:asciiTheme="minorAscii" w:hAnsiTheme="minorAscii" w:cstheme="minorAscii"/>
                <w:b w:val="0"/>
                <w:bCs w:val="0"/>
                <w:color w:val="303030"/>
                <w:sz w:val="16"/>
                <w:szCs w:val="16"/>
                <w:shd w:val="clear" w:color="auto" w:fill="FFFFFF"/>
              </w:rPr>
              <w:t> </w:t>
            </w:r>
            <w:r w:rsidRPr="5BD5A03F" w:rsidR="7B9FA624">
              <w:rPr>
                <w:rFonts w:ascii="Calibri" w:hAnsi="Calibri" w:cs="Calibri" w:asciiTheme="minorAscii" w:hAnsiTheme="minorAscii" w:cstheme="minorAscii"/>
                <w:b w:val="0"/>
                <w:bCs w:val="0"/>
                <w:i w:val="1"/>
                <w:iCs w:val="1"/>
                <w:color w:val="303030"/>
                <w:sz w:val="16"/>
                <w:szCs w:val="16"/>
              </w:rPr>
              <w:t>Thorax</w:t>
            </w:r>
            <w:r w:rsidRPr="5BD5A03F" w:rsidR="7B9FA624">
              <w:rPr>
                <w:rFonts w:ascii="Calibri" w:hAnsi="Calibri" w:cs="Calibri" w:asciiTheme="minorAscii" w:hAnsiTheme="minorAscii" w:cstheme="minorAscii"/>
                <w:b w:val="0"/>
                <w:bCs w:val="0"/>
                <w:color w:val="303030"/>
                <w:sz w:val="16"/>
                <w:szCs w:val="16"/>
                <w:shd w:val="clear" w:color="auto" w:fill="FFFFFF"/>
              </w:rPr>
              <w:t>. 2007;62(10):855-860. doi:10.1136/thx.2006.058362</w:t>
            </w:r>
          </w:p>
          <w:p w:rsidRPr="003C48A2" w:rsidR="00EA6BE2" w:rsidP="5BD5A03F" w:rsidRDefault="00EA6BE2" w14:paraId="57AD7919" w14:textId="77777777">
            <w:pPr>
              <w:pStyle w:val="ListParagraph"/>
              <w:numPr>
                <w:ilvl w:val="0"/>
                <w:numId w:val="5"/>
              </w:numPr>
              <w:rPr>
                <w:rFonts w:ascii="Calibri" w:hAnsi="Calibri" w:cs="Calibri" w:asciiTheme="minorAscii" w:hAnsiTheme="minorAscii" w:cstheme="minorAscii"/>
                <w:b w:val="0"/>
                <w:bCs w:val="0"/>
                <w:color w:val="333333"/>
                <w:sz w:val="16"/>
                <w:szCs w:val="16"/>
              </w:rPr>
            </w:pPr>
            <w:r w:rsidRPr="5BD5A03F" w:rsidR="7B9FA624">
              <w:rPr>
                <w:rFonts w:ascii="Calibri" w:hAnsi="Calibri" w:cs="Calibri" w:asciiTheme="minorAscii" w:hAnsiTheme="minorAscii" w:cstheme="minorAscii"/>
                <w:b w:val="0"/>
                <w:bCs w:val="0"/>
                <w:sz w:val="16"/>
                <w:szCs w:val="16"/>
              </w:rPr>
              <w:t xml:space="preserve">Subramanian SV, Chen JT, </w:t>
            </w:r>
            <w:r w:rsidRPr="5BD5A03F" w:rsidR="7B9FA624">
              <w:rPr>
                <w:rFonts w:ascii="Calibri" w:hAnsi="Calibri" w:cs="Calibri" w:asciiTheme="minorAscii" w:hAnsiTheme="minorAscii" w:cstheme="minorAscii"/>
                <w:b w:val="0"/>
                <w:bCs w:val="0"/>
                <w:sz w:val="16"/>
                <w:szCs w:val="16"/>
              </w:rPr>
              <w:t>Rehkopf</w:t>
            </w:r>
            <w:r w:rsidRPr="5BD5A03F" w:rsidR="7B9FA624">
              <w:rPr>
                <w:rFonts w:ascii="Calibri" w:hAnsi="Calibri" w:cs="Calibri" w:asciiTheme="minorAscii" w:hAnsiTheme="minorAscii" w:cstheme="minorAscii"/>
                <w:b w:val="0"/>
                <w:bCs w:val="0"/>
                <w:sz w:val="16"/>
                <w:szCs w:val="16"/>
              </w:rPr>
              <w:t xml:space="preserve"> DH, Waterman PD, Krieger N. Comparing Individual- and Area-based Socioeconomic Measures for the Surveillance of Health Disparities: A Multilevel Analysis of Massachusetts Births, 1989-1991. </w:t>
            </w:r>
            <w:r w:rsidRPr="5BD5A03F" w:rsidR="7B9FA624">
              <w:rPr>
                <w:rFonts w:ascii="Calibri" w:hAnsi="Calibri" w:cs="Calibri" w:asciiTheme="minorAscii" w:hAnsiTheme="minorAscii" w:cstheme="minorAscii"/>
                <w:b w:val="0"/>
                <w:bCs w:val="0"/>
                <w:i w:val="1"/>
                <w:iCs w:val="1"/>
                <w:sz w:val="16"/>
                <w:szCs w:val="16"/>
              </w:rPr>
              <w:t xml:space="preserve">Am J </w:t>
            </w:r>
            <w:proofErr w:type="spellStart"/>
            <w:r w:rsidRPr="5BD5A03F" w:rsidR="7B9FA624">
              <w:rPr>
                <w:rFonts w:ascii="Calibri" w:hAnsi="Calibri" w:cs="Calibri" w:asciiTheme="minorAscii" w:hAnsiTheme="minorAscii" w:cstheme="minorAscii"/>
                <w:b w:val="0"/>
                <w:bCs w:val="0"/>
                <w:i w:val="1"/>
                <w:iCs w:val="1"/>
                <w:sz w:val="16"/>
                <w:szCs w:val="16"/>
              </w:rPr>
              <w:t>Epidemiol</w:t>
            </w:r>
            <w:proofErr w:type="spellEnd"/>
            <w:r w:rsidRPr="5BD5A03F" w:rsidR="7B9FA624">
              <w:rPr>
                <w:rFonts w:ascii="Calibri" w:hAnsi="Calibri" w:cs="Calibri" w:asciiTheme="minorAscii" w:hAnsiTheme="minorAscii" w:cstheme="minorAscii"/>
                <w:b w:val="0"/>
                <w:bCs w:val="0"/>
                <w:i w:val="1"/>
                <w:iCs w:val="1"/>
                <w:sz w:val="16"/>
                <w:szCs w:val="16"/>
              </w:rPr>
              <w:t>,</w:t>
            </w:r>
            <w:r w:rsidRPr="5BD5A03F" w:rsidR="7B9FA624">
              <w:rPr>
                <w:rFonts w:ascii="Calibri" w:hAnsi="Calibri" w:cs="Calibri" w:asciiTheme="minorAscii" w:hAnsiTheme="minorAscii" w:cstheme="minorAscii"/>
                <w:b w:val="0"/>
                <w:bCs w:val="0"/>
                <w:sz w:val="16"/>
                <w:szCs w:val="16"/>
              </w:rPr>
              <w:t xml:space="preserve"> 2006; 164:823-834</w:t>
            </w:r>
          </w:p>
          <w:p w:rsidRPr="003C48A2" w:rsidR="00EA6BE2" w:rsidP="5BD5A03F" w:rsidRDefault="00EA6BE2" w14:paraId="350B9E68" w14:textId="77777777">
            <w:pPr>
              <w:pStyle w:val="ListParagraph"/>
              <w:numPr>
                <w:ilvl w:val="0"/>
                <w:numId w:val="5"/>
              </w:numPr>
              <w:rPr>
                <w:rFonts w:ascii="Calibri" w:hAnsi="Calibri" w:cs="Calibri" w:asciiTheme="minorAscii" w:hAnsiTheme="minorAscii" w:cstheme="minorAscii"/>
                <w:b w:val="0"/>
                <w:bCs w:val="0"/>
                <w:color w:val="333333"/>
                <w:sz w:val="16"/>
                <w:szCs w:val="16"/>
              </w:rPr>
            </w:pPr>
            <w:r w:rsidRPr="5BD5A03F" w:rsidR="7B9FA624">
              <w:rPr>
                <w:rStyle w:val="nlmstring-name"/>
                <w:rFonts w:ascii="Calibri" w:hAnsi="Calibri" w:cs="Calibri" w:asciiTheme="minorAscii" w:hAnsiTheme="minorAscii" w:cstheme="minorAscii"/>
                <w:b w:val="0"/>
                <w:bCs w:val="0"/>
                <w:color w:val="000000" w:themeColor="text1" w:themeTint="FF" w:themeShade="FF"/>
                <w:sz w:val="16"/>
                <w:szCs w:val="16"/>
              </w:rPr>
              <w:t>Rehkopf</w:t>
            </w:r>
            <w:r w:rsidRPr="5BD5A03F" w:rsidR="7B9FA624">
              <w:rPr>
                <w:rStyle w:val="nlmstring-name"/>
                <w:rFonts w:ascii="Calibri" w:hAnsi="Calibri" w:cs="Calibri" w:asciiTheme="minorAscii" w:hAnsiTheme="minorAscii" w:cstheme="minorAscii"/>
                <w:b w:val="0"/>
                <w:bCs w:val="0"/>
                <w:color w:val="000000" w:themeColor="text1" w:themeTint="FF" w:themeShade="FF"/>
                <w:sz w:val="16"/>
                <w:szCs w:val="16"/>
              </w:rPr>
              <w:t xml:space="preserve"> DH</w:t>
            </w:r>
            <w:r w:rsidRPr="5BD5A03F" w:rsidR="7B9FA624">
              <w:rPr>
                <w:rStyle w:val="artauthors"/>
                <w:rFonts w:ascii="Calibri" w:hAnsi="Calibri" w:cs="Calibri" w:asciiTheme="minorAscii" w:hAnsiTheme="minorAscii" w:cstheme="minorAscii"/>
                <w:b w:val="0"/>
                <w:bCs w:val="0"/>
                <w:color w:val="000000" w:themeColor="text1" w:themeTint="FF" w:themeShade="FF"/>
                <w:sz w:val="16"/>
                <w:szCs w:val="16"/>
              </w:rPr>
              <w:t>,</w:t>
            </w:r>
            <w:r w:rsidRPr="5BD5A03F" w:rsidR="7B9FA624">
              <w:rPr>
                <w:rStyle w:val="nlmstring-name"/>
                <w:rFonts w:ascii="Calibri" w:hAnsi="Calibri" w:cs="Calibri" w:asciiTheme="minorAscii" w:hAnsiTheme="minorAscii" w:cstheme="minorAscii"/>
                <w:b w:val="0"/>
                <w:bCs w:val="0"/>
                <w:color w:val="000000" w:themeColor="text1" w:themeTint="FF" w:themeShade="FF"/>
                <w:sz w:val="16"/>
                <w:szCs w:val="16"/>
              </w:rPr>
              <w:t xml:space="preserve"> Haughton LT</w:t>
            </w:r>
            <w:r w:rsidRPr="5BD5A03F" w:rsidR="7B9FA624">
              <w:rPr>
                <w:rStyle w:val="artauthors"/>
                <w:rFonts w:ascii="Calibri" w:hAnsi="Calibri" w:cs="Calibri" w:asciiTheme="minorAscii" w:hAnsiTheme="minorAscii" w:cstheme="minorAscii"/>
                <w:b w:val="0"/>
                <w:bCs w:val="0"/>
                <w:color w:val="000000" w:themeColor="text1" w:themeTint="FF" w:themeShade="FF"/>
                <w:sz w:val="16"/>
                <w:szCs w:val="16"/>
              </w:rPr>
              <w:t>,</w:t>
            </w:r>
            <w:r w:rsidRPr="5BD5A03F" w:rsidR="7B9FA624">
              <w:rPr>
                <w:rStyle w:val="nlmstring-name"/>
                <w:rFonts w:ascii="Calibri" w:hAnsi="Calibri" w:cs="Calibri" w:asciiTheme="minorAscii" w:hAnsiTheme="minorAscii" w:cstheme="minorAscii"/>
                <w:b w:val="0"/>
                <w:bCs w:val="0"/>
                <w:color w:val="000000" w:themeColor="text1" w:themeTint="FF" w:themeShade="FF"/>
                <w:sz w:val="16"/>
                <w:szCs w:val="16"/>
              </w:rPr>
              <w:t xml:space="preserve"> Chen JT</w:t>
            </w:r>
            <w:r w:rsidRPr="5BD5A03F" w:rsidR="7B9FA624">
              <w:rPr>
                <w:rStyle w:val="artauthors"/>
                <w:rFonts w:ascii="Calibri" w:hAnsi="Calibri" w:cs="Calibri" w:asciiTheme="minorAscii" w:hAnsiTheme="minorAscii" w:cstheme="minorAscii"/>
                <w:b w:val="0"/>
                <w:bCs w:val="0"/>
                <w:color w:val="000000" w:themeColor="text1" w:themeTint="FF" w:themeShade="FF"/>
                <w:sz w:val="16"/>
                <w:szCs w:val="16"/>
              </w:rPr>
              <w:t>,</w:t>
            </w:r>
            <w:r w:rsidRPr="5BD5A03F" w:rsidR="7B9FA624">
              <w:rPr>
                <w:rStyle w:val="apple-converted-space"/>
                <w:rFonts w:ascii="Calibri" w:hAnsi="Calibri" w:cs="Calibri" w:asciiTheme="minorAscii" w:hAnsiTheme="minorAscii" w:cstheme="minorAscii"/>
                <w:b w:val="0"/>
                <w:bCs w:val="0"/>
                <w:color w:val="000000" w:themeColor="text1" w:themeTint="FF" w:themeShade="FF"/>
                <w:sz w:val="16"/>
                <w:szCs w:val="16"/>
              </w:rPr>
              <w:t> </w:t>
            </w:r>
            <w:r w:rsidRPr="5BD5A03F" w:rsidR="7B9FA624">
              <w:rPr>
                <w:rStyle w:val="nlmstring-name"/>
                <w:rFonts w:ascii="Calibri" w:hAnsi="Calibri" w:cs="Calibri" w:asciiTheme="minorAscii" w:hAnsiTheme="minorAscii" w:cstheme="minorAscii"/>
                <w:b w:val="0"/>
                <w:bCs w:val="0"/>
                <w:color w:val="000000" w:themeColor="text1" w:themeTint="FF" w:themeShade="FF"/>
                <w:sz w:val="16"/>
                <w:szCs w:val="16"/>
              </w:rPr>
              <w:t>Waterman PD</w:t>
            </w:r>
            <w:r w:rsidRPr="5BD5A03F" w:rsidR="7B9FA624">
              <w:rPr>
                <w:rStyle w:val="artauthors"/>
                <w:rFonts w:ascii="Calibri" w:hAnsi="Calibri" w:cs="Calibri" w:asciiTheme="minorAscii" w:hAnsiTheme="minorAscii" w:cstheme="minorAscii"/>
                <w:b w:val="0"/>
                <w:bCs w:val="0"/>
                <w:color w:val="000000" w:themeColor="text1" w:themeTint="FF" w:themeShade="FF"/>
                <w:sz w:val="16"/>
                <w:szCs w:val="16"/>
              </w:rPr>
              <w:t>,</w:t>
            </w:r>
            <w:r w:rsidRPr="5BD5A03F" w:rsidR="7B9FA624">
              <w:rPr>
                <w:rStyle w:val="apple-converted-space"/>
                <w:rFonts w:ascii="Calibri" w:hAnsi="Calibri" w:cs="Calibri" w:asciiTheme="minorAscii" w:hAnsiTheme="minorAscii" w:cstheme="minorAscii"/>
                <w:b w:val="0"/>
                <w:bCs w:val="0"/>
                <w:color w:val="000000" w:themeColor="text1" w:themeTint="FF" w:themeShade="FF"/>
                <w:sz w:val="16"/>
                <w:szCs w:val="16"/>
              </w:rPr>
              <w:t> </w:t>
            </w:r>
            <w:r w:rsidRPr="5BD5A03F" w:rsidR="7B9FA624">
              <w:rPr>
                <w:rStyle w:val="nlmstring-name"/>
                <w:rFonts w:ascii="Calibri" w:hAnsi="Calibri" w:cs="Calibri" w:asciiTheme="minorAscii" w:hAnsiTheme="minorAscii" w:cstheme="minorAscii"/>
                <w:b w:val="0"/>
                <w:bCs w:val="0"/>
                <w:color w:val="000000" w:themeColor="text1" w:themeTint="FF" w:themeShade="FF"/>
                <w:sz w:val="16"/>
                <w:szCs w:val="16"/>
              </w:rPr>
              <w:t>Subramanian SV</w:t>
            </w:r>
            <w:r w:rsidRPr="5BD5A03F" w:rsidR="7B9FA624">
              <w:rPr>
                <w:rStyle w:val="artauthors"/>
                <w:rFonts w:ascii="Calibri" w:hAnsi="Calibri" w:cs="Calibri" w:asciiTheme="minorAscii" w:hAnsiTheme="minorAscii" w:cstheme="minorAscii"/>
                <w:b w:val="0"/>
                <w:bCs w:val="0"/>
                <w:color w:val="000000" w:themeColor="text1" w:themeTint="FF" w:themeShade="FF"/>
                <w:sz w:val="16"/>
                <w:szCs w:val="16"/>
              </w:rPr>
              <w:t xml:space="preserve">, </w:t>
            </w:r>
            <w:r w:rsidRPr="5BD5A03F" w:rsidR="7B9FA624">
              <w:rPr>
                <w:rStyle w:val="nlmstring-name"/>
                <w:rFonts w:ascii="Calibri" w:hAnsi="Calibri" w:cs="Calibri" w:asciiTheme="minorAscii" w:hAnsiTheme="minorAscii" w:cstheme="minorAscii"/>
                <w:b w:val="0"/>
                <w:bCs w:val="0"/>
                <w:color w:val="000000" w:themeColor="text1" w:themeTint="FF" w:themeShade="FF"/>
                <w:sz w:val="16"/>
                <w:szCs w:val="16"/>
              </w:rPr>
              <w:t>Krieger N</w:t>
            </w:r>
            <w:r w:rsidRPr="5BD5A03F" w:rsidR="7B9FA624">
              <w:rPr>
                <w:rFonts w:ascii="Calibri" w:hAnsi="Calibri" w:cs="Calibri" w:asciiTheme="minorAscii" w:hAnsiTheme="minorAscii" w:cstheme="minorAscii"/>
                <w:b w:val="0"/>
                <w:bCs w:val="0"/>
                <w:color w:val="000000" w:themeColor="text1" w:themeTint="FF" w:themeShade="FF"/>
                <w:sz w:val="16"/>
                <w:szCs w:val="16"/>
              </w:rPr>
              <w:t xml:space="preserve">. </w:t>
            </w:r>
          </w:p>
          <w:p w:rsidRPr="003C48A2" w:rsidR="00EA6BE2" w:rsidP="5BD5A03F" w:rsidRDefault="00EA6BE2" w14:paraId="19C8CBF5" w14:textId="77777777">
            <w:pPr>
              <w:ind w:left="720"/>
              <w:rPr>
                <w:rFonts w:ascii="Calibri" w:hAnsi="Calibri" w:cs="Calibri" w:asciiTheme="minorAscii" w:hAnsiTheme="minorAscii" w:cstheme="minorAscii"/>
                <w:b w:val="0"/>
                <w:bCs w:val="0"/>
                <w:color w:val="000000"/>
                <w:sz w:val="16"/>
                <w:szCs w:val="16"/>
              </w:rPr>
            </w:pPr>
            <w:r w:rsidRPr="5BD5A03F" w:rsidR="7B9FA624">
              <w:rPr>
                <w:rFonts w:ascii="Calibri" w:hAnsi="Calibri" w:cs="Calibri" w:asciiTheme="minorAscii" w:hAnsiTheme="minorAscii" w:cstheme="minorAscii"/>
                <w:b w:val="0"/>
                <w:bCs w:val="0"/>
                <w:color w:val="000000" w:themeColor="text1" w:themeTint="FF" w:themeShade="FF"/>
                <w:sz w:val="16"/>
                <w:szCs w:val="16"/>
              </w:rPr>
              <w:t>Monitoring Socioeconomic Disparities in Death: Comparing Individual-Level Education and Area-Based Socioeconomic Measures</w:t>
            </w:r>
            <w:r w:rsidRPr="5BD5A03F" w:rsidR="7B9FA624">
              <w:rPr>
                <w:rFonts w:ascii="Calibri" w:hAnsi="Calibri" w:cs="Calibri" w:asciiTheme="minorAscii" w:hAnsiTheme="minorAscii" w:cstheme="minorAscii"/>
                <w:b w:val="0"/>
                <w:bCs w:val="0"/>
                <w:color w:val="000000" w:themeColor="text1" w:themeTint="FF" w:themeShade="FF"/>
                <w:sz w:val="16"/>
                <w:szCs w:val="16"/>
              </w:rPr>
              <w:t xml:space="preserve">. </w:t>
            </w:r>
            <w:r w:rsidRPr="5BD5A03F" w:rsidR="7B9FA624">
              <w:rPr>
                <w:rStyle w:val="journalname"/>
                <w:rFonts w:ascii="Calibri" w:hAnsi="Calibri" w:cs="Calibri" w:asciiTheme="minorAscii" w:hAnsiTheme="minorAscii" w:cstheme="minorAscii"/>
                <w:b w:val="0"/>
                <w:bCs w:val="0"/>
                <w:i w:val="1"/>
                <w:iCs w:val="1"/>
                <w:color w:val="000000" w:themeColor="text1" w:themeTint="FF" w:themeShade="FF"/>
                <w:sz w:val="16"/>
                <w:szCs w:val="16"/>
              </w:rPr>
              <w:t>American Journal of Public Health,</w:t>
            </w:r>
            <w:r w:rsidRPr="5BD5A03F" w:rsidR="7B9FA624">
              <w:rPr>
                <w:rStyle w:val="journalname"/>
                <w:rFonts w:ascii="Calibri" w:hAnsi="Calibri" w:cs="Calibri" w:asciiTheme="minorAscii" w:hAnsiTheme="minorAscii" w:cstheme="minorAscii"/>
                <w:b w:val="0"/>
                <w:bCs w:val="0"/>
                <w:color w:val="000000" w:themeColor="text1" w:themeTint="FF" w:themeShade="FF"/>
                <w:sz w:val="16"/>
                <w:szCs w:val="16"/>
              </w:rPr>
              <w:t xml:space="preserve"> 2006;</w:t>
            </w:r>
            <w:r w:rsidRPr="5BD5A03F" w:rsidR="7B9FA624">
              <w:rPr>
                <w:rStyle w:val="volume"/>
                <w:rFonts w:ascii="Calibri" w:hAnsi="Calibri" w:cs="Calibri" w:asciiTheme="minorAscii" w:hAnsiTheme="minorAscii" w:cstheme="minorAscii"/>
                <w:b w:val="0"/>
                <w:bCs w:val="0"/>
                <w:color w:val="000000" w:themeColor="text1" w:themeTint="FF" w:themeShade="FF"/>
                <w:sz w:val="16"/>
                <w:szCs w:val="16"/>
              </w:rPr>
              <w:t>96,</w:t>
            </w:r>
            <w:r w:rsidRPr="5BD5A03F" w:rsidR="7B9FA624">
              <w:rPr>
                <w:rStyle w:val="apple-converted-space"/>
                <w:rFonts w:ascii="Calibri" w:hAnsi="Calibri" w:cs="Calibri" w:asciiTheme="minorAscii" w:hAnsiTheme="minorAscii" w:cstheme="minorAscii"/>
                <w:b w:val="0"/>
                <w:bCs w:val="0"/>
                <w:color w:val="000000" w:themeColor="text1" w:themeTint="FF" w:themeShade="FF"/>
                <w:sz w:val="16"/>
                <w:szCs w:val="16"/>
              </w:rPr>
              <w:t> </w:t>
            </w:r>
            <w:r w:rsidRPr="5BD5A03F" w:rsidR="7B9FA624">
              <w:rPr>
                <w:rStyle w:val="page"/>
                <w:rFonts w:ascii="Calibri" w:hAnsi="Calibri" w:cs="Calibri" w:asciiTheme="minorAscii" w:hAnsiTheme="minorAscii" w:cstheme="minorAscii"/>
                <w:b w:val="0"/>
                <w:bCs w:val="0"/>
                <w:color w:val="000000" w:themeColor="text1" w:themeTint="FF" w:themeShade="FF"/>
                <w:sz w:val="16"/>
                <w:szCs w:val="16"/>
              </w:rPr>
              <w:t xml:space="preserve">2135-2138. Doi: </w:t>
            </w:r>
            <w:r w:rsidRPr="5BD5A03F" w:rsidR="7B9FA624">
              <w:rPr>
                <w:rFonts w:ascii="Calibri" w:hAnsi="Calibri" w:cs="Calibri" w:asciiTheme="minorAscii" w:hAnsiTheme="minorAscii" w:cstheme="minorAscii"/>
                <w:b w:val="0"/>
                <w:bCs w:val="0"/>
                <w:color w:val="000000" w:themeColor="text1" w:themeTint="FF" w:themeShade="FF"/>
                <w:sz w:val="16"/>
                <w:szCs w:val="16"/>
              </w:rPr>
              <w:t>https://doi.org/10.2105/AJPH.2005.075408</w:t>
            </w:r>
          </w:p>
          <w:p w:rsidRPr="003C48A2" w:rsidR="00EA6BE2" w:rsidP="5BD5A03F" w:rsidRDefault="00EA6BE2" w14:paraId="4745371E" w14:textId="77777777">
            <w:pPr>
              <w:numPr>
                <w:ilvl w:val="0"/>
                <w:numId w:val="5"/>
              </w:numPr>
              <w:rPr>
                <w:rFonts w:ascii="Calibri" w:hAnsi="Calibri" w:cs="Calibri" w:asciiTheme="minorAscii" w:hAnsiTheme="minorAscii" w:cstheme="minorAscii"/>
                <w:b w:val="0"/>
                <w:bCs w:val="0"/>
                <w:color w:val="000000"/>
                <w:sz w:val="16"/>
                <w:szCs w:val="16"/>
              </w:rPr>
            </w:pPr>
            <w:r w:rsidRPr="5BD5A03F" w:rsidR="7B9FA624">
              <w:rPr>
                <w:rFonts w:ascii="Calibri" w:hAnsi="Calibri" w:cs="Calibri" w:asciiTheme="minorAscii" w:hAnsiTheme="minorAscii" w:cstheme="minorAscii"/>
                <w:b w:val="0"/>
                <w:bCs w:val="0"/>
                <w:color w:val="212121"/>
                <w:sz w:val="16"/>
                <w:szCs w:val="16"/>
                <w:shd w:val="clear" w:color="auto" w:fill="FFFFFF"/>
              </w:rPr>
              <w:t xml:space="preserve">Diez-Roux AV, </w:t>
            </w:r>
            <w:r w:rsidRPr="5BD5A03F" w:rsidR="7B9FA624">
              <w:rPr>
                <w:rFonts w:ascii="Calibri" w:hAnsi="Calibri" w:cs="Calibri" w:asciiTheme="minorAscii" w:hAnsiTheme="minorAscii" w:cstheme="minorAscii"/>
                <w:b w:val="0"/>
                <w:bCs w:val="0"/>
                <w:color w:val="212121"/>
                <w:sz w:val="16"/>
                <w:szCs w:val="16"/>
                <w:shd w:val="clear" w:color="auto" w:fill="FFFFFF"/>
              </w:rPr>
              <w:t>Kiefe</w:t>
            </w:r>
            <w:r w:rsidRPr="5BD5A03F" w:rsidR="7B9FA624">
              <w:rPr>
                <w:rFonts w:ascii="Calibri" w:hAnsi="Calibri" w:cs="Calibri" w:asciiTheme="minorAscii" w:hAnsiTheme="minorAscii" w:cstheme="minorAscii"/>
                <w:b w:val="0"/>
                <w:bCs w:val="0"/>
                <w:color w:val="212121"/>
                <w:sz w:val="16"/>
                <w:szCs w:val="16"/>
                <w:shd w:val="clear" w:color="auto" w:fill="FFFFFF"/>
              </w:rPr>
              <w:t xml:space="preserve"> CI, Jacobs DR Jr, </w:t>
            </w:r>
            <w:r w:rsidRPr="5BD5A03F" w:rsidR="7B9FA624">
              <w:rPr>
                <w:rFonts w:ascii="Calibri" w:hAnsi="Calibri" w:cs="Calibri" w:asciiTheme="minorAscii" w:hAnsiTheme="minorAscii" w:cstheme="minorAscii"/>
                <w:b w:val="0"/>
                <w:bCs w:val="0"/>
                <w:color w:val="212121"/>
                <w:sz w:val="16"/>
                <w:szCs w:val="16"/>
                <w:shd w:val="clear" w:color="auto" w:fill="FFFFFF"/>
              </w:rPr>
              <w:t>Haan</w:t>
            </w:r>
            <w:r w:rsidRPr="5BD5A03F" w:rsidR="7B9FA624">
              <w:rPr>
                <w:rFonts w:ascii="Calibri" w:hAnsi="Calibri" w:cs="Calibri" w:asciiTheme="minorAscii" w:hAnsiTheme="minorAscii" w:cstheme="minorAscii"/>
                <w:b w:val="0"/>
                <w:bCs w:val="0"/>
                <w:color w:val="212121"/>
                <w:sz w:val="16"/>
                <w:szCs w:val="16"/>
                <w:shd w:val="clear" w:color="auto" w:fill="FFFFFF"/>
              </w:rPr>
              <w:t xml:space="preserve"> M, Jackson SA, Nieto FJ, Paton CC, Schulz R. Area characteristics and individual-level socioeconomic position indicators in three population-based epidemiologic studies. </w:t>
            </w:r>
            <w:r w:rsidRPr="5BD5A03F" w:rsidR="7B9FA624">
              <w:rPr>
                <w:rFonts w:ascii="Calibri" w:hAnsi="Calibri" w:cs="Calibri" w:asciiTheme="minorAscii" w:hAnsiTheme="minorAscii" w:cstheme="minorAscii"/>
                <w:b w:val="0"/>
                <w:bCs w:val="0"/>
                <w:i w:val="1"/>
                <w:iCs w:val="1"/>
                <w:color w:val="212121"/>
                <w:sz w:val="16"/>
                <w:szCs w:val="16"/>
                <w:shd w:val="clear" w:color="auto" w:fill="FFFFFF"/>
              </w:rPr>
              <w:t xml:space="preserve">Ann </w:t>
            </w:r>
            <w:proofErr w:type="spellStart"/>
            <w:r w:rsidRPr="5BD5A03F" w:rsidR="7B9FA624">
              <w:rPr>
                <w:rFonts w:ascii="Calibri" w:hAnsi="Calibri" w:cs="Calibri" w:asciiTheme="minorAscii" w:hAnsiTheme="minorAscii" w:cstheme="minorAscii"/>
                <w:b w:val="0"/>
                <w:bCs w:val="0"/>
                <w:i w:val="1"/>
                <w:iCs w:val="1"/>
                <w:color w:val="212121"/>
                <w:sz w:val="16"/>
                <w:szCs w:val="16"/>
                <w:shd w:val="clear" w:color="auto" w:fill="FFFFFF"/>
              </w:rPr>
              <w:t>Epidemiol</w:t>
            </w:r>
            <w:proofErr w:type="spellEnd"/>
            <w:r w:rsidRPr="5BD5A03F" w:rsidR="7B9FA624">
              <w:rPr>
                <w:rFonts w:ascii="Calibri" w:hAnsi="Calibri" w:cs="Calibri" w:asciiTheme="minorAscii" w:hAnsiTheme="minorAscii" w:cstheme="minorAscii"/>
                <w:b w:val="0"/>
                <w:bCs w:val="0"/>
                <w:i w:val="1"/>
                <w:iCs w:val="1"/>
                <w:color w:val="212121"/>
                <w:sz w:val="16"/>
                <w:szCs w:val="16"/>
                <w:shd w:val="clear" w:color="auto" w:fill="FFFFFF"/>
              </w:rPr>
              <w:t>,</w:t>
            </w:r>
            <w:r w:rsidRPr="5BD5A03F" w:rsidR="7B9FA624">
              <w:rPr>
                <w:rFonts w:ascii="Calibri" w:hAnsi="Calibri" w:cs="Calibri" w:asciiTheme="minorAscii" w:hAnsiTheme="minorAscii" w:cstheme="minorAscii"/>
                <w:b w:val="0"/>
                <w:bCs w:val="0"/>
                <w:color w:val="212121"/>
                <w:sz w:val="16"/>
                <w:szCs w:val="16"/>
                <w:shd w:val="clear" w:color="auto" w:fill="FFFFFF"/>
              </w:rPr>
              <w:t xml:space="preserve"> 2001;11(6):395-405. Doi: 10.1016/s1047-2797(01)00221-6.</w:t>
            </w:r>
            <w:r w:rsidRPr="5BD5A03F" w:rsidR="7B9FA624">
              <w:rPr>
                <w:rStyle w:val="apple-converted-space"/>
                <w:rFonts w:ascii="Calibri" w:hAnsi="Calibri" w:cs="Calibri" w:asciiTheme="minorAscii" w:hAnsiTheme="minorAscii" w:cstheme="minorAscii"/>
                <w:b w:val="0"/>
                <w:bCs w:val="0"/>
                <w:color w:val="212121"/>
                <w:sz w:val="16"/>
                <w:szCs w:val="16"/>
                <w:shd w:val="clear" w:color="auto" w:fill="FFFFFF"/>
              </w:rPr>
              <w:t> </w:t>
            </w:r>
          </w:p>
          <w:p w:rsidRPr="003C48A2" w:rsidR="00EA6BE2" w:rsidP="5BD5A03F" w:rsidRDefault="00EA6BE2" w14:paraId="45604DD1" w14:textId="77777777">
            <w:pPr>
              <w:numPr>
                <w:ilvl w:val="0"/>
                <w:numId w:val="5"/>
              </w:numPr>
              <w:rPr>
                <w:rFonts w:ascii="Calibri" w:hAnsi="Calibri" w:cs="Calibri" w:asciiTheme="minorAscii" w:hAnsiTheme="minorAscii" w:cstheme="minorAscii"/>
                <w:b w:val="0"/>
                <w:bCs w:val="0"/>
                <w:color w:val="000000"/>
                <w:sz w:val="16"/>
                <w:szCs w:val="16"/>
              </w:rPr>
            </w:pPr>
            <w:proofErr w:type="spellStart"/>
            <w:r w:rsidRPr="5BD5A03F" w:rsidR="7B9FA624">
              <w:rPr>
                <w:rFonts w:ascii="Calibri" w:hAnsi="Calibri" w:cs="Calibri" w:asciiTheme="minorAscii" w:hAnsiTheme="minorAscii" w:cstheme="minorAscii"/>
                <w:b w:val="0"/>
                <w:bCs w:val="0"/>
                <w:color w:val="303030"/>
                <w:sz w:val="16"/>
                <w:szCs w:val="16"/>
                <w:shd w:val="clear" w:color="auto" w:fill="FFFFFF"/>
              </w:rPr>
              <w:t>Soobader</w:t>
            </w:r>
            <w:proofErr w:type="spellEnd"/>
            <w:r w:rsidRPr="5BD5A03F" w:rsidR="7B9FA624">
              <w:rPr>
                <w:rFonts w:ascii="Calibri" w:hAnsi="Calibri" w:cs="Calibri" w:asciiTheme="minorAscii" w:hAnsiTheme="minorAscii" w:cstheme="minorAscii"/>
                <w:b w:val="0"/>
                <w:bCs w:val="0"/>
                <w:color w:val="303030"/>
                <w:sz w:val="16"/>
                <w:szCs w:val="16"/>
                <w:shd w:val="clear" w:color="auto" w:fill="FFFFFF"/>
              </w:rPr>
              <w:t xml:space="preserve"> M, </w:t>
            </w:r>
            <w:proofErr w:type="spellStart"/>
            <w:r w:rsidRPr="5BD5A03F" w:rsidR="7B9FA624">
              <w:rPr>
                <w:rFonts w:ascii="Calibri" w:hAnsi="Calibri" w:cs="Calibri" w:asciiTheme="minorAscii" w:hAnsiTheme="minorAscii" w:cstheme="minorAscii"/>
                <w:b w:val="0"/>
                <w:bCs w:val="0"/>
                <w:color w:val="303030"/>
                <w:sz w:val="16"/>
                <w:szCs w:val="16"/>
                <w:shd w:val="clear" w:color="auto" w:fill="FFFFFF"/>
              </w:rPr>
              <w:t>LeClere</w:t>
            </w:r>
            <w:proofErr w:type="spellEnd"/>
            <w:r w:rsidRPr="5BD5A03F" w:rsidR="7B9FA624">
              <w:rPr>
                <w:rFonts w:ascii="Calibri" w:hAnsi="Calibri" w:cs="Calibri" w:asciiTheme="minorAscii" w:hAnsiTheme="minorAscii" w:cstheme="minorAscii"/>
                <w:b w:val="0"/>
                <w:bCs w:val="0"/>
                <w:color w:val="303030"/>
                <w:sz w:val="16"/>
                <w:szCs w:val="16"/>
                <w:shd w:val="clear" w:color="auto" w:fill="FFFFFF"/>
              </w:rPr>
              <w:t xml:space="preserve"> FB, Hadden W, Maury B. Using aggregate geographic data to proxy individual socioeconomic status: does size matter?</w:t>
            </w:r>
            <w:r w:rsidRPr="5BD5A03F" w:rsidR="7B9FA624">
              <w:rPr>
                <w:rStyle w:val="apple-converted-space"/>
                <w:rFonts w:ascii="Calibri" w:hAnsi="Calibri" w:cs="Calibri" w:asciiTheme="minorAscii" w:hAnsiTheme="minorAscii" w:cstheme="minorAscii"/>
                <w:b w:val="0"/>
                <w:bCs w:val="0"/>
                <w:color w:val="303030"/>
                <w:sz w:val="16"/>
                <w:szCs w:val="16"/>
                <w:shd w:val="clear" w:color="auto" w:fill="FFFFFF"/>
              </w:rPr>
              <w:t> </w:t>
            </w:r>
            <w:r w:rsidRPr="5BD5A03F" w:rsidR="7B9FA624">
              <w:rPr>
                <w:rFonts w:ascii="Calibri" w:hAnsi="Calibri" w:cs="Calibri" w:asciiTheme="minorAscii" w:hAnsiTheme="minorAscii" w:cstheme="minorAscii"/>
                <w:b w:val="0"/>
                <w:bCs w:val="0"/>
                <w:i w:val="1"/>
                <w:iCs w:val="1"/>
                <w:color w:val="303030"/>
                <w:sz w:val="16"/>
                <w:szCs w:val="16"/>
              </w:rPr>
              <w:t>Am J Public Health</w:t>
            </w:r>
            <w:r w:rsidRPr="5BD5A03F" w:rsidR="7B9FA624">
              <w:rPr>
                <w:rFonts w:ascii="Calibri" w:hAnsi="Calibri" w:cs="Calibri" w:asciiTheme="minorAscii" w:hAnsiTheme="minorAscii" w:cstheme="minorAscii"/>
                <w:b w:val="0"/>
                <w:bCs w:val="0"/>
                <w:color w:val="303030"/>
                <w:sz w:val="16"/>
                <w:szCs w:val="16"/>
                <w:shd w:val="clear" w:color="auto" w:fill="FFFFFF"/>
              </w:rPr>
              <w:t>. 2001;91(4):632-636. Doi:10.2105/ajph.91.4.632</w:t>
            </w:r>
          </w:p>
          <w:p w:rsidRPr="003C48A2" w:rsidR="00EA6BE2" w:rsidP="5BD5A03F" w:rsidRDefault="00EA6BE2" w14:paraId="1A96358D" w14:textId="77777777">
            <w:pPr>
              <w:pStyle w:val="CommentText"/>
              <w:numPr>
                <w:ilvl w:val="0"/>
                <w:numId w:val="5"/>
              </w:numPr>
              <w:rPr>
                <w:rFonts w:ascii="Calibri" w:hAnsi="Calibri" w:cs="Calibri" w:asciiTheme="minorAscii" w:hAnsiTheme="minorAscii" w:cstheme="minorAscii"/>
                <w:b w:val="0"/>
                <w:bCs w:val="0"/>
                <w:sz w:val="16"/>
                <w:szCs w:val="16"/>
              </w:rPr>
            </w:pPr>
            <w:r w:rsidRPr="5BD5A03F" w:rsidR="7B9FA624">
              <w:rPr>
                <w:rFonts w:ascii="Calibri" w:hAnsi="Calibri" w:cs="Calibri" w:asciiTheme="minorAscii" w:hAnsiTheme="minorAscii" w:cstheme="minorAscii"/>
                <w:b w:val="0"/>
                <w:bCs w:val="0"/>
                <w:sz w:val="16"/>
                <w:szCs w:val="16"/>
              </w:rPr>
              <w:t xml:space="preserve">Subramanian </w:t>
            </w:r>
            <w:proofErr w:type="spellStart"/>
            <w:r w:rsidRPr="5BD5A03F" w:rsidR="7B9FA624">
              <w:rPr>
                <w:rFonts w:ascii="Calibri" w:hAnsi="Calibri" w:cs="Calibri" w:asciiTheme="minorAscii" w:hAnsiTheme="minorAscii" w:cstheme="minorAscii"/>
                <w:b w:val="0"/>
                <w:bCs w:val="0"/>
                <w:sz w:val="16"/>
                <w:szCs w:val="16"/>
              </w:rPr>
              <w:t>SV,The</w:t>
            </w:r>
            <w:proofErr w:type="spellEnd"/>
            <w:r w:rsidRPr="5BD5A03F" w:rsidR="7B9FA624">
              <w:rPr>
                <w:rFonts w:ascii="Calibri" w:hAnsi="Calibri" w:cs="Calibri" w:asciiTheme="minorAscii" w:hAnsiTheme="minorAscii" w:cstheme="minorAscii"/>
                <w:b w:val="0"/>
                <w:bCs w:val="0"/>
                <w:sz w:val="16"/>
                <w:szCs w:val="16"/>
              </w:rPr>
              <w:t xml:space="preserve"> relevance of multilevel statistical methods for identifying causal neighborhood effects. </w:t>
            </w:r>
            <w:r w:rsidRPr="5BD5A03F" w:rsidR="7B9FA624">
              <w:rPr>
                <w:rFonts w:ascii="Calibri" w:hAnsi="Calibri" w:cs="Calibri" w:asciiTheme="minorAscii" w:hAnsiTheme="minorAscii" w:cstheme="minorAscii"/>
                <w:b w:val="0"/>
                <w:bCs w:val="0"/>
                <w:i w:val="1"/>
                <w:iCs w:val="1"/>
                <w:sz w:val="16"/>
                <w:szCs w:val="16"/>
              </w:rPr>
              <w:t>Social Science &amp; Medicine</w:t>
            </w:r>
            <w:r w:rsidRPr="5BD5A03F" w:rsidR="7B9FA624">
              <w:rPr>
                <w:rFonts w:ascii="Calibri" w:hAnsi="Calibri" w:cs="Calibri" w:asciiTheme="minorAscii" w:hAnsiTheme="minorAscii" w:cstheme="minorAscii"/>
                <w:b w:val="0"/>
                <w:bCs w:val="0"/>
                <w:sz w:val="16"/>
                <w:szCs w:val="16"/>
              </w:rPr>
              <w:t xml:space="preserve"> 2004; 58(10): 1961-1967. </w:t>
            </w:r>
            <w:proofErr w:type="spellStart"/>
            <w:r w:rsidRPr="5BD5A03F" w:rsidR="7B9FA624">
              <w:rPr>
                <w:rFonts w:ascii="Calibri" w:hAnsi="Calibri" w:cs="Calibri" w:asciiTheme="minorAscii" w:hAnsiTheme="minorAscii" w:cstheme="minorAscii"/>
                <w:b w:val="0"/>
                <w:bCs w:val="0"/>
                <w:sz w:val="16"/>
                <w:szCs w:val="16"/>
              </w:rPr>
              <w:t>Doi:https</w:t>
            </w:r>
            <w:proofErr w:type="spellEnd"/>
            <w:r w:rsidRPr="5BD5A03F" w:rsidR="7B9FA624">
              <w:rPr>
                <w:rFonts w:ascii="Calibri" w:hAnsi="Calibri" w:cs="Calibri" w:asciiTheme="minorAscii" w:hAnsiTheme="minorAscii" w:cstheme="minorAscii"/>
                <w:b w:val="0"/>
                <w:bCs w:val="0"/>
                <w:sz w:val="16"/>
                <w:szCs w:val="16"/>
              </w:rPr>
              <w:t>://doi.org/10.1016/S0277-9536(03)00415-5</w:t>
            </w:r>
            <w:r w:rsidRPr="5BD5A03F" w:rsidR="7B9FA624">
              <w:rPr>
                <w:rFonts w:ascii="Calibri" w:hAnsi="Calibri" w:cs="Calibri" w:asciiTheme="minorAscii" w:hAnsiTheme="minorAscii" w:cstheme="minorAscii"/>
                <w:b w:val="0"/>
                <w:bCs w:val="0"/>
                <w:sz w:val="16"/>
                <w:szCs w:val="16"/>
              </w:rPr>
              <w:t>.</w:t>
            </w:r>
          </w:p>
          <w:p w:rsidRPr="003C48A2" w:rsidR="00274ACB" w:rsidP="00140508" w:rsidRDefault="00274ACB" w14:paraId="4E8397B4" w14:textId="77777777">
            <w:pPr>
              <w:spacing w:after="120"/>
              <w:jc w:val="both"/>
              <w:rPr>
                <w:rFonts w:asciiTheme="minorHAnsi" w:hAnsiTheme="minorHAnsi" w:cstheme="minorHAnsi"/>
                <w:b w:val="0"/>
                <w:bCs w:val="0"/>
                <w:sz w:val="22"/>
                <w:szCs w:val="22"/>
              </w:rPr>
            </w:pP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Pr="006B0625" w:rsidR="00274ACB" w:rsidP="00274ACB" w:rsidRDefault="002B0282" w14:paraId="5BB16FE4" w14:textId="7731F8DB">
            <w:pPr>
              <w:pStyle w:val="BodyText2"/>
              <w:tabs>
                <w:tab w:val="clear" w:pos="720"/>
              </w:tabs>
              <w:spacing w:after="120"/>
              <w:jc w:val="both"/>
              <w:rPr>
                <w:rFonts w:asciiTheme="minorHAnsi" w:hAnsiTheme="minorHAnsi" w:cstheme="minorHAnsi"/>
                <w:b/>
                <w:bCs w:val="0"/>
                <w:i/>
                <w:sz w:val="24"/>
                <w:szCs w:val="24"/>
              </w:rPr>
            </w:pPr>
            <w:r w:rsidRPr="006B0625">
              <w:rPr>
                <w:rFonts w:asciiTheme="minorHAnsi" w:hAnsiTheme="minorHAnsi" w:cstheme="minorHAnsi"/>
                <w:i/>
                <w:sz w:val="24"/>
                <w:szCs w:val="24"/>
              </w:rPr>
              <w:t>Formal training:</w:t>
            </w:r>
          </w:p>
          <w:p w:rsidRPr="006B0625" w:rsidR="006B0625" w:rsidP="00274ACB" w:rsidRDefault="006B0625" w14:paraId="5324E650" w14:textId="0214F434">
            <w:pPr>
              <w:pStyle w:val="BodyText2"/>
              <w:tabs>
                <w:tab w:val="clear" w:pos="720"/>
              </w:tabs>
              <w:spacing w:after="120"/>
              <w:jc w:val="both"/>
              <w:rPr>
                <w:rFonts w:asciiTheme="minorHAnsi" w:hAnsiTheme="minorHAnsi" w:cstheme="minorHAnsi"/>
                <w:iCs/>
                <w:sz w:val="24"/>
                <w:szCs w:val="24"/>
              </w:rPr>
            </w:pPr>
            <w:r w:rsidRPr="006B0625">
              <w:rPr>
                <w:rFonts w:asciiTheme="minorHAnsi" w:hAnsiTheme="minorHAnsi" w:cstheme="minorHAnsi"/>
                <w:iCs/>
                <w:sz w:val="24"/>
                <w:szCs w:val="24"/>
              </w:rPr>
              <w:t>It is expected that the student will participate in:</w:t>
            </w:r>
          </w:p>
          <w:p w:rsidRPr="006B0625" w:rsidR="006B0625" w:rsidP="006B0625" w:rsidRDefault="006B0625" w14:paraId="7FD39A42" w14:textId="59B02BC7">
            <w:pPr>
              <w:pStyle w:val="BodyText2"/>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26"/>
              <w:rPr>
                <w:rFonts w:eastAsia="SimSun" w:asciiTheme="minorHAnsi" w:hAnsiTheme="minorHAnsi" w:cstheme="minorHAnsi"/>
                <w:sz w:val="24"/>
                <w:szCs w:val="24"/>
              </w:rPr>
            </w:pPr>
            <w:r w:rsidRPr="006B0625">
              <w:rPr>
                <w:rFonts w:eastAsia="SimSun" w:asciiTheme="minorHAnsi" w:hAnsiTheme="minorHAnsi" w:cstheme="minorHAnsi"/>
                <w:sz w:val="24"/>
                <w:szCs w:val="24"/>
              </w:rPr>
              <w:t xml:space="preserve">Systematic literature reviewing and evidence synthesis </w:t>
            </w:r>
            <w:r w:rsidRPr="006B0625">
              <w:rPr>
                <w:rFonts w:eastAsia="SimSun" w:asciiTheme="minorHAnsi" w:hAnsiTheme="minorHAnsi" w:cstheme="minorHAnsi"/>
                <w:sz w:val="24"/>
                <w:szCs w:val="24"/>
              </w:rPr>
              <w:t xml:space="preserve">workshops hosted by </w:t>
            </w:r>
            <w:proofErr w:type="spellStart"/>
            <w:r w:rsidRPr="006B0625">
              <w:rPr>
                <w:rFonts w:eastAsia="SimSun" w:asciiTheme="minorHAnsi" w:hAnsiTheme="minorHAnsi" w:cstheme="minorHAnsi"/>
                <w:sz w:val="24"/>
                <w:szCs w:val="24"/>
              </w:rPr>
              <w:t>Keele</w:t>
            </w:r>
            <w:proofErr w:type="spellEnd"/>
            <w:r w:rsidRPr="006B0625">
              <w:rPr>
                <w:rFonts w:eastAsia="SimSun" w:asciiTheme="minorHAnsi" w:hAnsiTheme="minorHAnsi" w:cstheme="minorHAnsi"/>
                <w:sz w:val="24"/>
                <w:szCs w:val="24"/>
              </w:rPr>
              <w:t xml:space="preserve"> </w:t>
            </w:r>
            <w:proofErr w:type="spellStart"/>
            <w:r w:rsidRPr="006B0625">
              <w:rPr>
                <w:rFonts w:eastAsia="SimSun" w:asciiTheme="minorHAnsi" w:hAnsiTheme="minorHAnsi" w:cstheme="minorHAnsi"/>
                <w:sz w:val="24"/>
                <w:szCs w:val="24"/>
              </w:rPr>
              <w:t>SoM</w:t>
            </w:r>
            <w:proofErr w:type="spellEnd"/>
          </w:p>
          <w:p w:rsidRPr="006B0625" w:rsidR="006B0625" w:rsidP="006B0625" w:rsidRDefault="006B0625" w14:paraId="73D1DF2B" w14:textId="77777777">
            <w:pPr>
              <w:pStyle w:val="BodyText2"/>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26"/>
              <w:rPr>
                <w:rFonts w:eastAsia="SimSun" w:asciiTheme="minorHAnsi" w:hAnsiTheme="minorHAnsi" w:cstheme="minorHAnsi"/>
                <w:sz w:val="24"/>
                <w:szCs w:val="24"/>
              </w:rPr>
            </w:pPr>
            <w:r w:rsidRPr="006B0625">
              <w:rPr>
                <w:rFonts w:eastAsia="SimSun" w:asciiTheme="minorHAnsi" w:hAnsiTheme="minorHAnsi" w:cstheme="minorHAnsi"/>
                <w:sz w:val="24"/>
                <w:szCs w:val="24"/>
              </w:rPr>
              <w:t xml:space="preserve">Understanding primary care EHR data and practical handling of large EHR datasets – by online training, self-directed reading, supervised analysis, discussion with supervisors and external course attendance, </w:t>
            </w:r>
            <w:proofErr w:type="gramStart"/>
            <w:r w:rsidRPr="006B0625">
              <w:rPr>
                <w:rFonts w:eastAsia="SimSun" w:asciiTheme="minorHAnsi" w:hAnsiTheme="minorHAnsi" w:cstheme="minorHAnsi"/>
                <w:sz w:val="24"/>
                <w:szCs w:val="24"/>
              </w:rPr>
              <w:t>e.g.</w:t>
            </w:r>
            <w:proofErr w:type="gramEnd"/>
            <w:r w:rsidRPr="006B0625">
              <w:rPr>
                <w:rFonts w:eastAsia="SimSun" w:asciiTheme="minorHAnsi" w:hAnsiTheme="minorHAnsi" w:cstheme="minorHAnsi"/>
                <w:sz w:val="24"/>
                <w:szCs w:val="24"/>
              </w:rPr>
              <w:t xml:space="preserve"> Manchester Digital Epidemiology Summer School (£600 + accommodation/travel) </w:t>
            </w:r>
          </w:p>
          <w:p w:rsidRPr="006B0625" w:rsidR="006B0625" w:rsidP="006B0625" w:rsidRDefault="006B0625" w14:paraId="140C2FD2" w14:textId="77777777">
            <w:pPr>
              <w:pStyle w:val="BodyText2"/>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26"/>
              <w:rPr>
                <w:rFonts w:eastAsia="SimSun" w:asciiTheme="minorHAnsi" w:hAnsiTheme="minorHAnsi" w:cstheme="minorHAnsi"/>
                <w:sz w:val="24"/>
                <w:szCs w:val="24"/>
              </w:rPr>
            </w:pPr>
            <w:r w:rsidRPr="006B0625">
              <w:rPr>
                <w:rFonts w:eastAsia="SimSun" w:asciiTheme="minorHAnsi" w:hAnsiTheme="minorHAnsi" w:cstheme="minorHAnsi"/>
                <w:sz w:val="24"/>
                <w:szCs w:val="24"/>
              </w:rPr>
              <w:t>Multilevel linear regression concepts and methods by external course attendance (</w:t>
            </w:r>
            <w:proofErr w:type="gramStart"/>
            <w:r w:rsidRPr="006B0625">
              <w:rPr>
                <w:rFonts w:eastAsia="SimSun" w:asciiTheme="minorHAnsi" w:hAnsiTheme="minorHAnsi" w:cstheme="minorHAnsi"/>
                <w:sz w:val="24"/>
                <w:szCs w:val="24"/>
              </w:rPr>
              <w:t>e.g.</w:t>
            </w:r>
            <w:proofErr w:type="gramEnd"/>
            <w:r w:rsidRPr="006B0625">
              <w:rPr>
                <w:rFonts w:eastAsia="SimSun" w:asciiTheme="minorHAnsi" w:hAnsiTheme="minorHAnsi" w:cstheme="minorHAnsi"/>
                <w:sz w:val="24"/>
                <w:szCs w:val="24"/>
              </w:rPr>
              <w:t xml:space="preserve"> RSS Multi-level Modelling (£623 plus VAT)</w:t>
            </w:r>
          </w:p>
          <w:p w:rsidRPr="006B0625" w:rsidR="006B0625" w:rsidP="00274ACB" w:rsidRDefault="006B0625" w14:paraId="4E9085BF" w14:textId="77777777">
            <w:pPr>
              <w:pStyle w:val="BodyText2"/>
              <w:tabs>
                <w:tab w:val="clear" w:pos="720"/>
              </w:tabs>
              <w:spacing w:after="120"/>
              <w:jc w:val="both"/>
              <w:rPr>
                <w:rFonts w:cs="Arial" w:asciiTheme="minorHAnsi" w:hAnsiTheme="minorHAnsi"/>
                <w:iCs/>
                <w:sz w:val="24"/>
                <w:szCs w:val="24"/>
              </w:rPr>
            </w:pPr>
          </w:p>
          <w:p w:rsidRPr="00323521" w:rsidR="00E0356E" w:rsidP="00274ACB" w:rsidRDefault="002B0282" w14:paraId="411E72CB" w14:textId="7777777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sz w:val="24"/>
                <w:szCs w:val="24"/>
              </w:rPr>
              <w:t xml:space="preserve"> </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40483867" w14:textId="736828A9">
            <w:pPr>
              <w:pStyle w:val="BodyText2"/>
              <w:tabs>
                <w:tab w:val="clear" w:pos="720"/>
              </w:tabs>
              <w:spacing w:after="120"/>
              <w:jc w:val="both"/>
              <w:rPr>
                <w:rFonts w:cs="Arial" w:asciiTheme="minorHAnsi" w:hAnsiTheme="minorHAnsi"/>
                <w:b/>
                <w:bCs w:val="0"/>
                <w:sz w:val="24"/>
                <w:szCs w:val="24"/>
              </w:rPr>
            </w:pPr>
            <w:r w:rsidRPr="00323521">
              <w:rPr>
                <w:rFonts w:cs="Arial" w:asciiTheme="minorHAnsi" w:hAnsiTheme="minorHAnsi"/>
                <w:i/>
                <w:sz w:val="24"/>
                <w:szCs w:val="24"/>
              </w:rPr>
              <w:lastRenderedPageBreak/>
              <w:t>Informal training:</w:t>
            </w:r>
            <w:r w:rsidRPr="00323521">
              <w:rPr>
                <w:rFonts w:cs="Arial" w:asciiTheme="minorHAnsi" w:hAnsiTheme="minorHAnsi"/>
                <w:sz w:val="24"/>
                <w:szCs w:val="24"/>
              </w:rPr>
              <w:t xml:space="preserve"> </w:t>
            </w:r>
            <w:r w:rsidR="006B0625">
              <w:rPr>
                <w:rFonts w:cs="Arial" w:asciiTheme="minorHAnsi" w:hAnsiTheme="minorHAnsi"/>
                <w:sz w:val="24"/>
                <w:szCs w:val="24"/>
              </w:rPr>
              <w:t>It is exp</w:t>
            </w:r>
            <w:r w:rsidR="00742683">
              <w:rPr>
                <w:rFonts w:cs="Arial" w:asciiTheme="minorHAnsi" w:hAnsiTheme="minorHAnsi"/>
                <w:sz w:val="24"/>
                <w:szCs w:val="24"/>
              </w:rPr>
              <w:t>e</w:t>
            </w:r>
            <w:r w:rsidR="006B0625">
              <w:rPr>
                <w:rFonts w:cs="Arial" w:asciiTheme="minorHAnsi" w:hAnsiTheme="minorHAnsi"/>
                <w:sz w:val="24"/>
                <w:szCs w:val="24"/>
              </w:rPr>
              <w:t>cted that the student will participate in:</w:t>
            </w:r>
          </w:p>
          <w:p w:rsidRPr="006B0625" w:rsidR="006B0625" w:rsidP="00742683" w:rsidRDefault="006B0625" w14:paraId="5314D85C" w14:textId="6F6C6E5A">
            <w:pPr>
              <w:pStyle w:val="BodyText2"/>
              <w:numPr>
                <w:ilvl w:val="0"/>
                <w:numId w:val="7"/>
              </w:numPr>
              <w:tabs>
                <w:tab w:val="clear" w:pos="720"/>
              </w:tabs>
              <w:ind w:left="714" w:hanging="357"/>
              <w:jc w:val="both"/>
              <w:rPr>
                <w:rFonts w:cs="Arial" w:asciiTheme="minorHAnsi" w:hAnsiTheme="minorHAnsi"/>
                <w:sz w:val="24"/>
                <w:szCs w:val="24"/>
              </w:rPr>
            </w:pPr>
            <w:proofErr w:type="spellStart"/>
            <w:r>
              <w:rPr>
                <w:rFonts w:cs="Arial" w:asciiTheme="minorHAnsi" w:hAnsiTheme="minorHAnsi"/>
                <w:sz w:val="24"/>
                <w:szCs w:val="24"/>
              </w:rPr>
              <w:t>Keele</w:t>
            </w:r>
            <w:proofErr w:type="spellEnd"/>
            <w:r>
              <w:rPr>
                <w:rFonts w:cs="Arial" w:asciiTheme="minorHAnsi" w:hAnsiTheme="minorHAnsi"/>
                <w:sz w:val="24"/>
                <w:szCs w:val="24"/>
              </w:rPr>
              <w:t xml:space="preserve"> SOM internal and external seminar programme</w:t>
            </w:r>
          </w:p>
          <w:p w:rsidRPr="006B0625" w:rsidR="006B0625" w:rsidP="00742683" w:rsidRDefault="006B0625" w14:paraId="2DD253BB" w14:textId="2BCD7478">
            <w:pPr>
              <w:pStyle w:val="BodyText2"/>
              <w:numPr>
                <w:ilvl w:val="0"/>
                <w:numId w:val="7"/>
              </w:numPr>
              <w:tabs>
                <w:tab w:val="clear" w:pos="720"/>
              </w:tabs>
              <w:ind w:left="714" w:hanging="357"/>
              <w:jc w:val="both"/>
              <w:rPr>
                <w:rFonts w:cs="Arial" w:asciiTheme="minorHAnsi" w:hAnsiTheme="minorHAnsi"/>
                <w:sz w:val="24"/>
                <w:szCs w:val="24"/>
              </w:rPr>
            </w:pPr>
            <w:proofErr w:type="spellStart"/>
            <w:r>
              <w:rPr>
                <w:rFonts w:cs="Arial" w:asciiTheme="minorHAnsi" w:hAnsiTheme="minorHAnsi"/>
                <w:sz w:val="24"/>
                <w:szCs w:val="24"/>
              </w:rPr>
              <w:t>Keele</w:t>
            </w:r>
            <w:proofErr w:type="spellEnd"/>
            <w:r>
              <w:rPr>
                <w:rFonts w:cs="Arial" w:asciiTheme="minorHAnsi" w:hAnsiTheme="minorHAnsi"/>
                <w:sz w:val="24"/>
                <w:szCs w:val="24"/>
              </w:rPr>
              <w:t xml:space="preserve"> </w:t>
            </w:r>
            <w:proofErr w:type="spellStart"/>
            <w:r>
              <w:rPr>
                <w:rFonts w:cs="Arial" w:asciiTheme="minorHAnsi" w:hAnsiTheme="minorHAnsi"/>
                <w:sz w:val="24"/>
                <w:szCs w:val="24"/>
              </w:rPr>
              <w:t>SoM</w:t>
            </w:r>
            <w:proofErr w:type="spellEnd"/>
            <w:r w:rsidR="00742683">
              <w:rPr>
                <w:rFonts w:cs="Arial" w:asciiTheme="minorHAnsi" w:hAnsiTheme="minorHAnsi"/>
                <w:sz w:val="24"/>
                <w:szCs w:val="24"/>
              </w:rPr>
              <w:t xml:space="preserve"> </w:t>
            </w:r>
            <w:r>
              <w:rPr>
                <w:rFonts w:cs="Arial" w:asciiTheme="minorHAnsi" w:hAnsiTheme="minorHAnsi"/>
                <w:sz w:val="24"/>
                <w:szCs w:val="24"/>
              </w:rPr>
              <w:t>Postgraduate student group</w:t>
            </w:r>
          </w:p>
          <w:p w:rsidR="006B0625" w:rsidP="00742683" w:rsidRDefault="006B0625" w14:paraId="4A7EB1BF" w14:textId="07ED14A6">
            <w:pPr>
              <w:pStyle w:val="BodyText2"/>
              <w:numPr>
                <w:ilvl w:val="0"/>
                <w:numId w:val="7"/>
              </w:numPr>
              <w:tabs>
                <w:tab w:val="clear" w:pos="720"/>
              </w:tabs>
              <w:ind w:left="714" w:hanging="357"/>
              <w:jc w:val="both"/>
              <w:rPr>
                <w:rFonts w:cs="Arial" w:asciiTheme="minorHAnsi" w:hAnsiTheme="minorHAnsi"/>
                <w:sz w:val="24"/>
                <w:szCs w:val="24"/>
              </w:rPr>
            </w:pPr>
            <w:proofErr w:type="spellStart"/>
            <w:r>
              <w:rPr>
                <w:rFonts w:cs="Arial" w:asciiTheme="minorHAnsi" w:hAnsiTheme="minorHAnsi"/>
                <w:sz w:val="24"/>
                <w:szCs w:val="24"/>
              </w:rPr>
              <w:t>Keele</w:t>
            </w:r>
            <w:proofErr w:type="spellEnd"/>
            <w:r>
              <w:rPr>
                <w:rFonts w:cs="Arial" w:asciiTheme="minorHAnsi" w:hAnsiTheme="minorHAnsi"/>
                <w:sz w:val="24"/>
                <w:szCs w:val="24"/>
              </w:rPr>
              <w:t xml:space="preserve"> </w:t>
            </w:r>
            <w:proofErr w:type="spellStart"/>
            <w:r>
              <w:rPr>
                <w:rFonts w:cs="Arial" w:asciiTheme="minorHAnsi" w:hAnsiTheme="minorHAnsi"/>
                <w:sz w:val="24"/>
                <w:szCs w:val="24"/>
              </w:rPr>
              <w:t>SoM</w:t>
            </w:r>
            <w:proofErr w:type="spellEnd"/>
            <w:r>
              <w:rPr>
                <w:rFonts w:cs="Arial" w:asciiTheme="minorHAnsi" w:hAnsiTheme="minorHAnsi"/>
                <w:sz w:val="24"/>
                <w:szCs w:val="24"/>
              </w:rPr>
              <w:t xml:space="preserve"> post-graduate research symposium</w:t>
            </w:r>
          </w:p>
          <w:p w:rsidRPr="00323521" w:rsidR="00EA7C68" w:rsidP="002B0282" w:rsidRDefault="00EA7C68" w14:paraId="1A7365FA" w14:textId="77777777">
            <w:pPr>
              <w:pStyle w:val="BodyText2"/>
              <w:tabs>
                <w:tab w:val="clear" w:pos="720"/>
              </w:tabs>
              <w:spacing w:after="120"/>
              <w:jc w:val="both"/>
              <w:rPr>
                <w:rFonts w:cs="Arial" w:asciiTheme="minorHAnsi" w:hAnsiTheme="minorHAnsi"/>
                <w:i/>
                <w:sz w:val="24"/>
                <w:szCs w:val="24"/>
              </w:rPr>
            </w:pP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129C0AC1" w14:textId="6706116D">
            <w:pPr>
              <w:pStyle w:val="BodyText2"/>
              <w:tabs>
                <w:tab w:val="clear" w:pos="720"/>
              </w:tabs>
              <w:spacing w:after="120"/>
              <w:jc w:val="both"/>
              <w:rPr>
                <w:rFonts w:cs="Arial" w:asciiTheme="minorHAnsi" w:hAnsiTheme="minorHAnsi"/>
                <w:b/>
                <w:bCs w:val="0"/>
                <w:i/>
                <w:sz w:val="24"/>
                <w:szCs w:val="24"/>
              </w:rPr>
            </w:pPr>
            <w:r w:rsidRPr="00323521">
              <w:rPr>
                <w:rFonts w:cs="Arial" w:asciiTheme="minorHAnsi" w:hAnsiTheme="minorHAnsi"/>
                <w:i/>
                <w:sz w:val="24"/>
                <w:szCs w:val="24"/>
              </w:rPr>
              <w:t xml:space="preserve">PPIE: </w:t>
            </w:r>
          </w:p>
          <w:p w:rsidRPr="00323521" w:rsidR="00EA7C68" w:rsidP="00742683" w:rsidRDefault="006B0625" w14:paraId="48977F4E" w14:textId="7950CCCB">
            <w:pPr>
              <w:pStyle w:val="BodyText2"/>
              <w:tabs>
                <w:tab w:val="clear" w:pos="720"/>
              </w:tabs>
              <w:spacing w:after="120"/>
              <w:jc w:val="both"/>
              <w:rPr>
                <w:rFonts w:cs="Arial" w:asciiTheme="minorHAnsi" w:hAnsiTheme="minorHAnsi"/>
                <w:i/>
                <w:sz w:val="24"/>
                <w:szCs w:val="24"/>
              </w:rPr>
            </w:pPr>
            <w:r>
              <w:rPr>
                <w:rFonts w:cs="Arial" w:asciiTheme="minorHAnsi" w:hAnsiTheme="minorHAnsi"/>
                <w:iCs/>
                <w:sz w:val="24"/>
                <w:szCs w:val="24"/>
              </w:rPr>
              <w:t xml:space="preserve">The student will engage with PPIE at </w:t>
            </w:r>
            <w:proofErr w:type="gramStart"/>
            <w:r>
              <w:rPr>
                <w:rFonts w:cs="Arial" w:asciiTheme="minorHAnsi" w:hAnsiTheme="minorHAnsi"/>
                <w:iCs/>
                <w:sz w:val="24"/>
                <w:szCs w:val="24"/>
              </w:rPr>
              <w:t>a number of</w:t>
            </w:r>
            <w:proofErr w:type="gramEnd"/>
            <w:r>
              <w:rPr>
                <w:rFonts w:cs="Arial" w:asciiTheme="minorHAnsi" w:hAnsiTheme="minorHAnsi"/>
                <w:iCs/>
                <w:sz w:val="24"/>
                <w:szCs w:val="24"/>
              </w:rPr>
              <w:t xml:space="preserve"> stages during this project</w:t>
            </w:r>
            <w:r w:rsidR="00742683">
              <w:rPr>
                <w:rFonts w:cs="Arial" w:asciiTheme="minorHAnsi" w:hAnsiTheme="minorHAnsi"/>
                <w:iCs/>
                <w:sz w:val="24"/>
                <w:szCs w:val="24"/>
              </w:rPr>
              <w:t>. This will include but is not limited to advice on understanding results of study 1-3 above, advice on variables to select concerning the individual level social determinants of health from the MIDAS population survey for analysis of area versus individual level data, advice on key indicators to select for the data linkage study (study 3), advice on dissemination strategies.</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default" r:id="rId10"/>
      <w:footerReference w:type="default" r:id="rId11"/>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6965" w:rsidP="008A5DEB" w:rsidRDefault="00B56965" w14:paraId="757773B6" w14:textId="77777777">
      <w:pPr>
        <w:spacing w:after="0" w:line="240" w:lineRule="auto"/>
      </w:pPr>
      <w:r>
        <w:separator/>
      </w:r>
    </w:p>
  </w:endnote>
  <w:endnote w:type="continuationSeparator" w:id="0">
    <w:p w:rsidR="00B56965" w:rsidP="008A5DEB" w:rsidRDefault="00B56965" w14:paraId="290009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6965" w:rsidP="008A5DEB" w:rsidRDefault="00B56965" w14:paraId="09888193" w14:textId="77777777">
      <w:pPr>
        <w:spacing w:after="0" w:line="240" w:lineRule="auto"/>
      </w:pPr>
      <w:r>
        <w:separator/>
      </w:r>
    </w:p>
  </w:footnote>
  <w:footnote w:type="continuationSeparator" w:id="0">
    <w:p w:rsidR="00B56965" w:rsidP="008A5DEB" w:rsidRDefault="00B56965" w14:paraId="214DFE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2606"/>
    <w:multiLevelType w:val="hybridMultilevel"/>
    <w:tmpl w:val="E21E5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885283"/>
    <w:multiLevelType w:val="hybridMultilevel"/>
    <w:tmpl w:val="FF04FD5A"/>
    <w:lvl w:ilvl="0" w:tplc="EDC09078">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3A4896"/>
    <w:multiLevelType w:val="hybridMultilevel"/>
    <w:tmpl w:val="B6BE4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5427E59"/>
    <w:multiLevelType w:val="hybridMultilevel"/>
    <w:tmpl w:val="C29668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1BC31E1"/>
    <w:multiLevelType w:val="hybridMultilevel"/>
    <w:tmpl w:val="981E46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6"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9232A"/>
    <w:rsid w:val="000C7EA2"/>
    <w:rsid w:val="00140508"/>
    <w:rsid w:val="00174C55"/>
    <w:rsid w:val="00180000"/>
    <w:rsid w:val="00244693"/>
    <w:rsid w:val="0027361D"/>
    <w:rsid w:val="00274ACB"/>
    <w:rsid w:val="002A1B47"/>
    <w:rsid w:val="002B0282"/>
    <w:rsid w:val="002F31FE"/>
    <w:rsid w:val="00323521"/>
    <w:rsid w:val="00362B4E"/>
    <w:rsid w:val="003A3BA9"/>
    <w:rsid w:val="003C48A2"/>
    <w:rsid w:val="00491691"/>
    <w:rsid w:val="004A4B4A"/>
    <w:rsid w:val="004E3BC1"/>
    <w:rsid w:val="00515545"/>
    <w:rsid w:val="00516650"/>
    <w:rsid w:val="00540F80"/>
    <w:rsid w:val="006B0625"/>
    <w:rsid w:val="00742683"/>
    <w:rsid w:val="00747A0E"/>
    <w:rsid w:val="00787EF3"/>
    <w:rsid w:val="007E11EC"/>
    <w:rsid w:val="008410F0"/>
    <w:rsid w:val="00841D5A"/>
    <w:rsid w:val="008A062D"/>
    <w:rsid w:val="008A5DEB"/>
    <w:rsid w:val="00956790"/>
    <w:rsid w:val="009B098C"/>
    <w:rsid w:val="009F184A"/>
    <w:rsid w:val="009F24DA"/>
    <w:rsid w:val="00A87625"/>
    <w:rsid w:val="00AC5D34"/>
    <w:rsid w:val="00B1182D"/>
    <w:rsid w:val="00B43070"/>
    <w:rsid w:val="00B56965"/>
    <w:rsid w:val="00C258FF"/>
    <w:rsid w:val="00C61C47"/>
    <w:rsid w:val="00E0356E"/>
    <w:rsid w:val="00EA6BE2"/>
    <w:rsid w:val="00EA7C68"/>
    <w:rsid w:val="00EC6D60"/>
    <w:rsid w:val="00F25330"/>
    <w:rsid w:val="00F471E5"/>
    <w:rsid w:val="00F54009"/>
    <w:rsid w:val="00FF6AEA"/>
    <w:rsid w:val="5BD5A03F"/>
    <w:rsid w:val="699E15B4"/>
    <w:rsid w:val="7B9FA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Salutation">
    <w:name w:val="Salutation"/>
    <w:basedOn w:val="Normal"/>
    <w:next w:val="Normal"/>
    <w:link w:val="SalutationChar"/>
    <w:semiHidden/>
    <w:rsid w:val="00B1182D"/>
    <w:pPr>
      <w:spacing w:after="0" w:line="240" w:lineRule="auto"/>
    </w:pPr>
    <w:rPr>
      <w:rFonts w:ascii="Times New Roman" w:hAnsi="Times New Roman" w:eastAsia="Times New Roman" w:cs="Times New Roman"/>
      <w:szCs w:val="24"/>
      <w:lang w:eastAsia="zh-CN"/>
    </w:rPr>
  </w:style>
  <w:style w:type="character" w:styleId="SalutationChar" w:customStyle="1">
    <w:name w:val="Salutation Char"/>
    <w:basedOn w:val="DefaultParagraphFont"/>
    <w:link w:val="Salutation"/>
    <w:semiHidden/>
    <w:rsid w:val="00B1182D"/>
    <w:rPr>
      <w:rFonts w:ascii="Times New Roman" w:hAnsi="Times New Roman" w:eastAsia="Times New Roman" w:cs="Times New Roman"/>
      <w:szCs w:val="24"/>
      <w:lang w:eastAsia="zh-CN"/>
    </w:rPr>
  </w:style>
  <w:style w:type="character" w:styleId="Hyperlink">
    <w:name w:val="Hyperlink"/>
    <w:uiPriority w:val="99"/>
    <w:rsid w:val="00EA6BE2"/>
    <w:rPr>
      <w:color w:val="0000FF"/>
      <w:u w:val="single"/>
    </w:rPr>
  </w:style>
  <w:style w:type="paragraph" w:styleId="CommentText">
    <w:name w:val="annotation text"/>
    <w:basedOn w:val="Normal"/>
    <w:link w:val="CommentTextChar"/>
    <w:uiPriority w:val="99"/>
    <w:rsid w:val="00EA6BE2"/>
    <w:pPr>
      <w:spacing w:after="0" w:line="240" w:lineRule="auto"/>
    </w:pPr>
    <w:rPr>
      <w:rFonts w:ascii="Times New Roman" w:hAnsi="Times New Roman" w:eastAsia="Times New Roman" w:cs="Times New Roman"/>
      <w:szCs w:val="24"/>
      <w:lang w:val="en-US" w:eastAsia="nl-NL"/>
    </w:rPr>
  </w:style>
  <w:style w:type="character" w:styleId="CommentTextChar" w:customStyle="1">
    <w:name w:val="Comment Text Char"/>
    <w:basedOn w:val="DefaultParagraphFont"/>
    <w:link w:val="CommentText"/>
    <w:uiPriority w:val="99"/>
    <w:rsid w:val="00EA6BE2"/>
    <w:rPr>
      <w:rFonts w:ascii="Times New Roman" w:hAnsi="Times New Roman" w:eastAsia="Times New Roman" w:cs="Times New Roman"/>
      <w:szCs w:val="24"/>
      <w:lang w:val="en-US" w:eastAsia="nl-NL"/>
    </w:rPr>
  </w:style>
  <w:style w:type="character" w:styleId="apple-converted-space" w:customStyle="1">
    <w:name w:val="apple-converted-space"/>
    <w:rsid w:val="00EA6BE2"/>
  </w:style>
  <w:style w:type="character" w:styleId="artauthors" w:customStyle="1">
    <w:name w:val="art_authors"/>
    <w:basedOn w:val="DefaultParagraphFont"/>
    <w:rsid w:val="00EA6BE2"/>
  </w:style>
  <w:style w:type="character" w:styleId="nlmstring-name" w:customStyle="1">
    <w:name w:val="nlm_string-name"/>
    <w:basedOn w:val="DefaultParagraphFont"/>
    <w:rsid w:val="00EA6BE2"/>
  </w:style>
  <w:style w:type="character" w:styleId="year" w:customStyle="1">
    <w:name w:val="year"/>
    <w:basedOn w:val="DefaultParagraphFont"/>
    <w:rsid w:val="00EA6BE2"/>
  </w:style>
  <w:style w:type="character" w:styleId="journalname" w:customStyle="1">
    <w:name w:val="journalname"/>
    <w:basedOn w:val="DefaultParagraphFont"/>
    <w:rsid w:val="00EA6BE2"/>
  </w:style>
  <w:style w:type="character" w:styleId="volume" w:customStyle="1">
    <w:name w:val="volume"/>
    <w:basedOn w:val="DefaultParagraphFont"/>
    <w:rsid w:val="00EA6BE2"/>
  </w:style>
  <w:style w:type="character" w:styleId="page" w:customStyle="1">
    <w:name w:val="page"/>
    <w:basedOn w:val="DefaultParagraphFont"/>
    <w:rsid w:val="00EA6BE2"/>
  </w:style>
  <w:style w:type="character" w:styleId="Emphasis">
    <w:name w:val="Emphasis"/>
    <w:uiPriority w:val="20"/>
    <w:qFormat/>
    <w:rsid w:val="00EA6BE2"/>
    <w:rPr>
      <w:i/>
      <w:iCs/>
    </w:rPr>
  </w:style>
  <w:style w:type="character" w:styleId="issue" w:customStyle="1">
    <w:name w:val="issue"/>
    <w:basedOn w:val="DefaultParagraphFont"/>
    <w:rsid w:val="00EA6BE2"/>
  </w:style>
  <w:style w:type="character" w:styleId="hlfld-contribauthor" w:customStyle="1">
    <w:name w:val="hlfld-contribauthor"/>
    <w:basedOn w:val="DefaultParagraphFont"/>
    <w:rsid w:val="00EA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https://doi.org/10.1089/pop.2021.0176" TargetMode="External" Id="Reea054ec4f814d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607F77"/>
    <w:rsid w:val="009B098C"/>
    <w:rsid w:val="00AD3B81"/>
    <w:rsid w:val="00C8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E9C51-C641-4ABD-904A-739BE1A8EE3F}">
  <ds:schemaRefs>
    <ds:schemaRef ds:uri="http://schemas.openxmlformats.org/officeDocument/2006/bibliography"/>
  </ds:schemaRefs>
</ds:datastoreItem>
</file>

<file path=customXml/itemProps2.xml><?xml version="1.0" encoding="utf-8"?>
<ds:datastoreItem xmlns:ds="http://schemas.openxmlformats.org/officeDocument/2006/customXml" ds:itemID="{A928F598-0619-4C92-B28B-A6C0DE1BD0C6}"/>
</file>

<file path=customXml/itemProps3.xml><?xml version="1.0" encoding="utf-8"?>
<ds:datastoreItem xmlns:ds="http://schemas.openxmlformats.org/officeDocument/2006/customXml" ds:itemID="{432F9A2A-A3EB-4F37-BDFF-510394020ED2}"/>
</file>

<file path=customXml/itemProps4.xml><?xml version="1.0" encoding="utf-8"?>
<ds:datastoreItem xmlns:ds="http://schemas.openxmlformats.org/officeDocument/2006/customXml" ds:itemID="{4FE722DA-17D5-4405-BCC5-FDFCAA28AD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14</revision>
  <dcterms:created xsi:type="dcterms:W3CDTF">2022-01-11T13:04:00.0000000Z</dcterms:created>
  <dcterms:modified xsi:type="dcterms:W3CDTF">2022-01-13T11:51:52.5405715Z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