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16423" w14:textId="77777777" w:rsidR="00EC48F1" w:rsidRPr="009F713E" w:rsidRDefault="00EC48F1" w:rsidP="009F713E">
      <w:pPr>
        <w:spacing w:before="32" w:after="10" w:line="304" w:lineRule="exact"/>
        <w:ind w:left="72"/>
        <w:textAlignment w:val="baseline"/>
        <w:rPr>
          <w:rFonts w:ascii="Verdana" w:eastAsia="Verdana" w:hAnsi="Verdana"/>
          <w:b/>
          <w:color w:val="2E74B4"/>
          <w:sz w:val="21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8"/>
      </w:tblGrid>
      <w:tr w:rsidR="00EC48F1" w:rsidRPr="009F713E" w14:paraId="071D2EED" w14:textId="77777777">
        <w:trPr>
          <w:trHeight w:hRule="exact" w:val="36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364B703A" w14:textId="77777777" w:rsidR="00EC48F1" w:rsidRDefault="00CB32A1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Host department:</w:t>
            </w:r>
          </w:p>
        </w:tc>
      </w:tr>
      <w:tr w:rsidR="00EC48F1" w:rsidRPr="009F713E" w14:paraId="151AA450" w14:textId="77777777">
        <w:trPr>
          <w:trHeight w:hRule="exact" w:val="590"/>
        </w:trPr>
        <w:tc>
          <w:tcPr>
            <w:tcW w:w="1037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DE303" w14:textId="05CDAD2D" w:rsidR="00EC48F1" w:rsidRPr="009F713E" w:rsidRDefault="009F713E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Nottingham</w:t>
            </w:r>
          </w:p>
        </w:tc>
      </w:tr>
      <w:tr w:rsidR="00EC48F1" w:rsidRPr="009F713E" w14:paraId="36FE8AE2" w14:textId="77777777">
        <w:trPr>
          <w:trHeight w:hRule="exact" w:val="341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1E49B5" w14:textId="3604F8DC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Title:</w:t>
            </w:r>
            <w:r w:rsidR="00D871B3">
              <w:rPr>
                <w:rFonts w:ascii="Verdana" w:eastAsia="Verdana" w:hAnsi="Verdana"/>
                <w:b/>
                <w:color w:val="2E74B4"/>
                <w:sz w:val="21"/>
              </w:rPr>
              <w:t xml:space="preserve"> </w:t>
            </w:r>
          </w:p>
        </w:tc>
      </w:tr>
      <w:tr w:rsidR="00EC48F1" w:rsidRPr="009F713E" w14:paraId="77A00049" w14:textId="77777777">
        <w:trPr>
          <w:trHeight w:hRule="exact" w:val="879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2C9AE" w14:textId="45714E89" w:rsidR="00EC48F1" w:rsidRPr="009F713E" w:rsidRDefault="00BB02DC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sz w:val="21"/>
              </w:rPr>
              <w:t xml:space="preserve">Enhancing </w:t>
            </w:r>
            <w:r w:rsidR="001A3314">
              <w:rPr>
                <w:rFonts w:ascii="Verdana" w:eastAsia="Verdana" w:hAnsi="Verdana"/>
                <w:b/>
                <w:sz w:val="21"/>
              </w:rPr>
              <w:t>the</w:t>
            </w:r>
            <w:r>
              <w:rPr>
                <w:rFonts w:ascii="Verdana" w:eastAsia="Verdana" w:hAnsi="Verdana"/>
                <w:b/>
                <w:sz w:val="21"/>
              </w:rPr>
              <w:t xml:space="preserve"> effectiveness</w:t>
            </w:r>
            <w:r w:rsidR="00F555B3">
              <w:rPr>
                <w:rFonts w:ascii="Verdana" w:eastAsia="Verdana" w:hAnsi="Verdana"/>
                <w:b/>
                <w:sz w:val="21"/>
              </w:rPr>
              <w:t xml:space="preserve"> of vaccines</w:t>
            </w:r>
          </w:p>
        </w:tc>
      </w:tr>
      <w:tr w:rsidR="00EC48F1" w:rsidRPr="009F713E" w14:paraId="0912C94F" w14:textId="77777777">
        <w:trPr>
          <w:trHeight w:hRule="exact" w:val="34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37D5D2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Proposed supervisory team:</w:t>
            </w:r>
          </w:p>
        </w:tc>
      </w:tr>
      <w:tr w:rsidR="00EC48F1" w:rsidRPr="009F713E" w14:paraId="56E362DC" w14:textId="77777777">
        <w:trPr>
          <w:trHeight w:hRule="exact" w:val="2002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B5B37" w14:textId="77777777" w:rsidR="00EC48F1" w:rsidRPr="00932203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932203">
              <w:rPr>
                <w:rFonts w:ascii="Verdana" w:eastAsia="Verdana" w:hAnsi="Verdana"/>
                <w:bCs/>
                <w:sz w:val="21"/>
              </w:rPr>
              <w:t>Professor Kavita Vedhara (University of Nottingham)</w:t>
            </w:r>
          </w:p>
          <w:p w14:paraId="562CAB35" w14:textId="27D15302" w:rsidR="00C64DFD" w:rsidRPr="00932203" w:rsidRDefault="00F555B3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932203">
              <w:rPr>
                <w:rFonts w:ascii="Verdana" w:eastAsia="Verdana" w:hAnsi="Verdana"/>
                <w:bCs/>
                <w:sz w:val="21"/>
              </w:rPr>
              <w:t>Professor Lucy Fairclough</w:t>
            </w:r>
            <w:r w:rsidR="00C64DFD" w:rsidRPr="00932203">
              <w:rPr>
                <w:rFonts w:ascii="Verdana" w:eastAsia="Verdana" w:hAnsi="Verdana"/>
                <w:bCs/>
                <w:sz w:val="21"/>
              </w:rPr>
              <w:t xml:space="preserve"> (University of </w:t>
            </w:r>
            <w:r w:rsidRPr="00932203">
              <w:rPr>
                <w:rFonts w:ascii="Verdana" w:eastAsia="Verdana" w:hAnsi="Verdana"/>
                <w:bCs/>
                <w:sz w:val="21"/>
              </w:rPr>
              <w:t>Nottingham</w:t>
            </w:r>
            <w:r w:rsidR="00C64DFD" w:rsidRPr="00932203">
              <w:rPr>
                <w:rFonts w:ascii="Verdana" w:eastAsia="Verdana" w:hAnsi="Verdana"/>
                <w:bCs/>
                <w:sz w:val="21"/>
              </w:rPr>
              <w:t>)</w:t>
            </w:r>
          </w:p>
          <w:p w14:paraId="599A3AC5" w14:textId="3EF1A009" w:rsidR="00C64DFD" w:rsidRPr="00932203" w:rsidRDefault="00F555B3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932203">
              <w:rPr>
                <w:rFonts w:ascii="Verdana" w:eastAsia="Verdana" w:hAnsi="Verdana"/>
                <w:bCs/>
                <w:sz w:val="21"/>
              </w:rPr>
              <w:t>Dr Kieran Ayling</w:t>
            </w:r>
            <w:r w:rsidR="00C64DFD" w:rsidRPr="00932203">
              <w:rPr>
                <w:rFonts w:ascii="Verdana" w:eastAsia="Verdana" w:hAnsi="Verdana"/>
                <w:bCs/>
                <w:sz w:val="21"/>
              </w:rPr>
              <w:t xml:space="preserve"> (</w:t>
            </w:r>
            <w:r w:rsidRPr="00932203">
              <w:rPr>
                <w:rFonts w:ascii="Verdana" w:eastAsia="Verdana" w:hAnsi="Verdana"/>
                <w:bCs/>
                <w:sz w:val="21"/>
              </w:rPr>
              <w:t>University of Nottingham</w:t>
            </w:r>
            <w:r w:rsidR="00C64DFD" w:rsidRPr="00932203">
              <w:rPr>
                <w:rFonts w:ascii="Verdana" w:eastAsia="Verdana" w:hAnsi="Verdana"/>
                <w:bCs/>
                <w:sz w:val="21"/>
              </w:rPr>
              <w:t>)</w:t>
            </w:r>
          </w:p>
          <w:p w14:paraId="14CDB406" w14:textId="77777777" w:rsidR="00C64DFD" w:rsidRPr="00932203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932203">
              <w:rPr>
                <w:rFonts w:ascii="Verdana" w:eastAsia="Verdana" w:hAnsi="Verdana"/>
                <w:bCs/>
                <w:sz w:val="21"/>
              </w:rPr>
              <w:t xml:space="preserve">Dr </w:t>
            </w:r>
            <w:r w:rsidR="00F555B3" w:rsidRPr="00932203">
              <w:rPr>
                <w:rFonts w:ascii="Verdana" w:eastAsia="Verdana" w:hAnsi="Verdana"/>
                <w:bCs/>
                <w:sz w:val="21"/>
              </w:rPr>
              <w:t>Simon Royal</w:t>
            </w:r>
            <w:r w:rsidR="00F226FB" w:rsidRPr="00932203">
              <w:rPr>
                <w:rFonts w:ascii="Verdana" w:eastAsia="Verdana" w:hAnsi="Verdana"/>
                <w:bCs/>
                <w:sz w:val="21"/>
              </w:rPr>
              <w:t xml:space="preserve"> (University of Nottingham</w:t>
            </w:r>
            <w:r w:rsidR="00F555B3" w:rsidRPr="00932203">
              <w:rPr>
                <w:rFonts w:ascii="Verdana" w:eastAsia="Verdana" w:hAnsi="Verdana"/>
                <w:bCs/>
                <w:sz w:val="21"/>
              </w:rPr>
              <w:t xml:space="preserve"> Health Service</w:t>
            </w:r>
            <w:r w:rsidR="00F226FB" w:rsidRPr="00932203">
              <w:rPr>
                <w:rFonts w:ascii="Verdana" w:eastAsia="Verdana" w:hAnsi="Verdana"/>
                <w:bCs/>
                <w:sz w:val="21"/>
              </w:rPr>
              <w:t>)</w:t>
            </w:r>
          </w:p>
          <w:p w14:paraId="4543D8DD" w14:textId="31238E92" w:rsidR="006A72B9" w:rsidRPr="00B32EAF" w:rsidRDefault="006A72B9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932203">
              <w:rPr>
                <w:rFonts w:ascii="Verdana" w:eastAsia="Verdana" w:hAnsi="Verdana"/>
                <w:bCs/>
                <w:sz w:val="21"/>
              </w:rPr>
              <w:t>Professor Jonathan Van Tam (University of Nottingham)</w:t>
            </w:r>
          </w:p>
        </w:tc>
      </w:tr>
      <w:tr w:rsidR="00EC48F1" w:rsidRPr="009F713E" w14:paraId="015FFF5B" w14:textId="77777777">
        <w:trPr>
          <w:trHeight w:hRule="exact" w:val="341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4842F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Project description:</w:t>
            </w:r>
          </w:p>
        </w:tc>
      </w:tr>
      <w:tr w:rsidR="00EC48F1" w:rsidRPr="009F713E" w14:paraId="5A476B9C" w14:textId="77777777" w:rsidTr="0026659C">
        <w:trPr>
          <w:trHeight w:hRule="exact" w:val="9798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B2CDE" w14:textId="16C418F6" w:rsidR="005D79B1" w:rsidRPr="006A72B9" w:rsidRDefault="00CB32A1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/>
                <w:sz w:val="21"/>
                <w:szCs w:val="21"/>
              </w:rPr>
              <w:t>Background</w:t>
            </w:r>
            <w:r w:rsidR="002341EB" w:rsidRPr="006A72B9">
              <w:rPr>
                <w:rFonts w:ascii="Verdana" w:eastAsia="Verdana" w:hAnsi="Verdana"/>
                <w:b/>
                <w:sz w:val="21"/>
                <w:szCs w:val="21"/>
              </w:rPr>
              <w:t xml:space="preserve">: </w:t>
            </w:r>
            <w:r w:rsidR="00E62FB3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Vaccines </w:t>
            </w:r>
            <w:r w:rsidR="000C3065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play a critical role in reducing the risk of disease amongst the public. </w:t>
            </w:r>
            <w:r w:rsidR="00B32EAF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However, </w:t>
            </w:r>
            <w:r w:rsidR="00212206" w:rsidRPr="006A72B9">
              <w:rPr>
                <w:rFonts w:ascii="Verdana" w:eastAsia="Verdana" w:hAnsi="Verdana"/>
                <w:bCs/>
                <w:sz w:val="21"/>
                <w:szCs w:val="21"/>
              </w:rPr>
              <w:t>with all vaccines</w:t>
            </w:r>
            <w:r w:rsidR="0021220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, </w:t>
            </w:r>
            <w:r w:rsidR="00675B22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there is variability in </w:t>
            </w:r>
            <w:r w:rsidR="00ED58D8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the </w:t>
            </w:r>
            <w:r w:rsidR="00675B22" w:rsidRPr="006A72B9">
              <w:rPr>
                <w:rFonts w:ascii="Verdana" w:eastAsia="Verdana" w:hAnsi="Verdana"/>
                <w:bCs/>
                <w:sz w:val="21"/>
                <w:szCs w:val="21"/>
              </w:rPr>
              <w:t>effectiveness and durability of protection</w:t>
            </w:r>
            <w:r w:rsidR="008315B4" w:rsidRPr="006A72B9">
              <w:rPr>
                <w:rFonts w:ascii="Verdana" w:eastAsia="Verdana" w:hAnsi="Verdana"/>
                <w:bCs/>
                <w:sz w:val="21"/>
                <w:szCs w:val="21"/>
              </w:rPr>
              <w:t>. Previous research has shown that a range of emotional and lifestyle factors (e</w:t>
            </w:r>
            <w:r w:rsidR="005529EC" w:rsidRPr="006A72B9">
              <w:rPr>
                <w:rFonts w:ascii="Verdana" w:eastAsia="Verdana" w:hAnsi="Verdana"/>
                <w:bCs/>
                <w:sz w:val="21"/>
                <w:szCs w:val="21"/>
              </w:rPr>
              <w:t>.</w:t>
            </w:r>
            <w:r w:rsidR="008315B4" w:rsidRPr="006A72B9">
              <w:rPr>
                <w:rFonts w:ascii="Verdana" w:eastAsia="Verdana" w:hAnsi="Verdana"/>
                <w:bCs/>
                <w:sz w:val="21"/>
                <w:szCs w:val="21"/>
              </w:rPr>
              <w:t>g</w:t>
            </w:r>
            <w:r w:rsidR="005529EC" w:rsidRPr="006A72B9">
              <w:rPr>
                <w:rFonts w:ascii="Verdana" w:eastAsia="Verdana" w:hAnsi="Verdana"/>
                <w:bCs/>
                <w:sz w:val="21"/>
                <w:szCs w:val="21"/>
              </w:rPr>
              <w:t>.,</w:t>
            </w:r>
            <w:r w:rsidR="008315B4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proofErr w:type="gramStart"/>
            <w:r w:rsidR="008315B4" w:rsidRPr="006A72B9">
              <w:rPr>
                <w:rFonts w:ascii="Verdana" w:eastAsia="Verdana" w:hAnsi="Verdana"/>
                <w:bCs/>
                <w:sz w:val="21"/>
                <w:szCs w:val="21"/>
              </w:rPr>
              <w:t>positive</w:t>
            </w:r>
            <w:proofErr w:type="gramEnd"/>
            <w:r w:rsidR="008315B4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and negative mood, physical activity</w:t>
            </w:r>
            <w:r w:rsidR="00701E41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etc</w:t>
            </w:r>
            <w:r w:rsidR="005529EC" w:rsidRPr="006A72B9">
              <w:rPr>
                <w:rFonts w:ascii="Verdana" w:eastAsia="Verdana" w:hAnsi="Verdana"/>
                <w:bCs/>
                <w:sz w:val="21"/>
                <w:szCs w:val="21"/>
              </w:rPr>
              <w:t>.</w:t>
            </w:r>
            <w:r w:rsidR="00701E41" w:rsidRPr="006A72B9">
              <w:rPr>
                <w:rFonts w:ascii="Verdana" w:eastAsia="Verdana" w:hAnsi="Verdana"/>
                <w:bCs/>
                <w:sz w:val="21"/>
                <w:szCs w:val="21"/>
              </w:rPr>
              <w:t>) alter vaccine effectiveness</w:t>
            </w:r>
            <w:r w:rsidR="00ED58D8" w:rsidRPr="006A72B9">
              <w:rPr>
                <w:rFonts w:ascii="Verdana" w:eastAsia="Verdana" w:hAnsi="Verdana"/>
                <w:bCs/>
                <w:sz w:val="21"/>
                <w:szCs w:val="21"/>
              </w:rPr>
              <w:t>,</w:t>
            </w:r>
            <w:r w:rsidR="00701E41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and interventions which target these factors can enhance vaccine success. The proposed project would </w:t>
            </w:r>
            <w:r w:rsidR="00ED58D8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build on an existing </w:t>
            </w:r>
            <w:proofErr w:type="spellStart"/>
            <w:r w:rsidR="00ED58D8" w:rsidRPr="006A72B9">
              <w:rPr>
                <w:rFonts w:ascii="Verdana" w:eastAsia="Verdana" w:hAnsi="Verdana"/>
                <w:bCs/>
                <w:sz w:val="21"/>
                <w:szCs w:val="21"/>
              </w:rPr>
              <w:t>programme</w:t>
            </w:r>
            <w:proofErr w:type="spellEnd"/>
            <w:r w:rsidR="00ED58D8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of work </w:t>
            </w:r>
            <w:r w:rsidR="00DF5CFB" w:rsidRPr="006A72B9">
              <w:rPr>
                <w:rFonts w:ascii="Verdana" w:eastAsia="Verdana" w:hAnsi="Verdana"/>
                <w:bCs/>
                <w:sz w:val="21"/>
                <w:szCs w:val="21"/>
              </w:rPr>
              <w:t>looking at the benefits of positive mood for vaccine effectiveness</w:t>
            </w:r>
            <w:r w:rsidR="0077369E" w:rsidRPr="006A72B9">
              <w:rPr>
                <w:rFonts w:ascii="Verdana" w:eastAsia="Verdana" w:hAnsi="Verdana"/>
                <w:bCs/>
                <w:sz w:val="21"/>
                <w:szCs w:val="21"/>
              </w:rPr>
              <w:t>. The aims would be to:</w:t>
            </w:r>
            <w:r w:rsidR="0077369E" w:rsidRPr="006A72B9">
              <w:rPr>
                <w:rFonts w:ascii="Verdana" w:eastAsia="Verdana" w:hAnsi="Verdana"/>
                <w:bCs/>
                <w:sz w:val="21"/>
                <w:szCs w:val="21"/>
              </w:rPr>
              <w:br/>
              <w:t xml:space="preserve">1. </w:t>
            </w:r>
            <w:r w:rsidR="00E95664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Adapt </w:t>
            </w:r>
            <w:r w:rsidR="00394CA1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an existing brief single session positive mood intervention to permit </w:t>
            </w:r>
            <w:r w:rsidR="00EE0767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delivery of multiple sessions </w:t>
            </w:r>
            <w:r w:rsidR="00643A86" w:rsidRPr="006A72B9">
              <w:rPr>
                <w:rFonts w:ascii="Verdana" w:eastAsia="Verdana" w:hAnsi="Verdana"/>
                <w:bCs/>
                <w:sz w:val="21"/>
                <w:szCs w:val="21"/>
              </w:rPr>
              <w:t>in the 2 weeks post-vaccination</w:t>
            </w:r>
            <w:r w:rsidR="00EE0767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</w:p>
          <w:p w14:paraId="7C608DB0" w14:textId="5E56006B" w:rsidR="00FB1434" w:rsidRPr="006A72B9" w:rsidRDefault="005D79B1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2. </w:t>
            </w:r>
            <w:r w:rsidR="00F90520" w:rsidRPr="006A72B9">
              <w:rPr>
                <w:rFonts w:ascii="Verdana" w:eastAsia="Verdana" w:hAnsi="Verdana"/>
                <w:bCs/>
                <w:sz w:val="21"/>
                <w:szCs w:val="21"/>
              </w:rPr>
              <w:t>Identify the optimal ‘intervention</w:t>
            </w:r>
            <w:r w:rsidR="00A04522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r w:rsidR="00F90520" w:rsidRPr="006A72B9">
              <w:rPr>
                <w:rFonts w:ascii="Verdana" w:eastAsia="Verdana" w:hAnsi="Verdana"/>
                <w:bCs/>
                <w:sz w:val="21"/>
                <w:szCs w:val="21"/>
              </w:rPr>
              <w:t>dose</w:t>
            </w:r>
            <w:r w:rsidR="00A04522" w:rsidRPr="006A72B9">
              <w:rPr>
                <w:rFonts w:ascii="Verdana" w:eastAsia="Verdana" w:hAnsi="Verdana"/>
                <w:bCs/>
                <w:sz w:val="21"/>
                <w:szCs w:val="21"/>
              </w:rPr>
              <w:t>’</w:t>
            </w:r>
            <w:r w:rsidR="00F90520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r w:rsidR="00A04522" w:rsidRPr="006A72B9">
              <w:rPr>
                <w:rFonts w:ascii="Verdana" w:eastAsia="Verdana" w:hAnsi="Verdana"/>
                <w:bCs/>
                <w:sz w:val="21"/>
                <w:szCs w:val="21"/>
              </w:rPr>
              <w:t>associated with</w:t>
            </w:r>
            <w:r w:rsidR="00EC597C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vaccine effectiveness</w:t>
            </w:r>
          </w:p>
          <w:p w14:paraId="6BA3F083" w14:textId="4D67B569" w:rsidR="00EC597C" w:rsidRPr="006A72B9" w:rsidRDefault="005D79B1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>3</w:t>
            </w:r>
            <w:r w:rsidR="00EC597C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. The </w:t>
            </w:r>
            <w:r w:rsidR="008D4C62" w:rsidRPr="006A72B9">
              <w:rPr>
                <w:rFonts w:ascii="Verdana" w:eastAsia="Verdana" w:hAnsi="Verdana"/>
                <w:bCs/>
                <w:sz w:val="21"/>
                <w:szCs w:val="21"/>
              </w:rPr>
              <w:t>cellular and humoral immune mechanisms mediating this effect</w:t>
            </w:r>
          </w:p>
          <w:p w14:paraId="1A87EDFA" w14:textId="40093B73" w:rsidR="00F106E2" w:rsidRDefault="005D79B1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>4</w:t>
            </w:r>
            <w:r w:rsidR="009D0CE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. Conduct a </w:t>
            </w:r>
            <w:r w:rsidR="00A32B99" w:rsidRPr="006A72B9">
              <w:rPr>
                <w:rFonts w:ascii="Verdana" w:eastAsia="Verdana" w:hAnsi="Verdana"/>
                <w:bCs/>
                <w:sz w:val="21"/>
                <w:szCs w:val="21"/>
              </w:rPr>
              <w:t>qualitative study</w:t>
            </w:r>
            <w:r w:rsidR="009D0CE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to </w:t>
            </w:r>
            <w:r w:rsidR="00A32B99" w:rsidRPr="006A72B9">
              <w:rPr>
                <w:rFonts w:ascii="Verdana" w:eastAsia="Verdana" w:hAnsi="Verdana"/>
                <w:bCs/>
                <w:sz w:val="21"/>
                <w:szCs w:val="21"/>
              </w:rPr>
              <w:t>determine the barriers and facilitators to</w:t>
            </w:r>
            <w:r w:rsidR="009D0CE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implementing the intervention in routine care.</w:t>
            </w:r>
          </w:p>
          <w:p w14:paraId="3D3A86B7" w14:textId="77777777" w:rsidR="006A72B9" w:rsidRPr="006A72B9" w:rsidRDefault="006A72B9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</w:p>
          <w:p w14:paraId="59287DED" w14:textId="77777777" w:rsidR="002341EB" w:rsidRPr="006A72B9" w:rsidRDefault="004D16BE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/>
                <w:sz w:val="21"/>
                <w:szCs w:val="21"/>
              </w:rPr>
              <w:t>Methods:</w:t>
            </w:r>
            <w:r w:rsidR="002341EB" w:rsidRPr="006A72B9">
              <w:rPr>
                <w:rFonts w:ascii="Verdana" w:eastAsia="Verdana" w:hAnsi="Verdana"/>
                <w:b/>
                <w:sz w:val="21"/>
                <w:szCs w:val="21"/>
              </w:rPr>
              <w:t xml:space="preserve"> </w:t>
            </w:r>
          </w:p>
          <w:p w14:paraId="6915A68F" w14:textId="196BD71F" w:rsidR="00643A86" w:rsidRPr="006A72B9" w:rsidRDefault="0099528F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>Aim 1</w:t>
            </w:r>
            <w:r w:rsidR="00224B17" w:rsidRPr="006A72B9">
              <w:rPr>
                <w:rFonts w:ascii="Verdana" w:eastAsia="Verdana" w:hAnsi="Verdana"/>
                <w:bCs/>
                <w:sz w:val="21"/>
                <w:szCs w:val="21"/>
              </w:rPr>
              <w:t>:</w:t>
            </w:r>
            <w:r w:rsidR="002341EB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r w:rsidR="00643A86" w:rsidRPr="006A72B9">
              <w:rPr>
                <w:rFonts w:ascii="Verdana" w:eastAsia="Verdana" w:hAnsi="Verdana"/>
                <w:bCs/>
                <w:sz w:val="21"/>
                <w:szCs w:val="21"/>
              </w:rPr>
              <w:t>Our existing brief</w:t>
            </w:r>
            <w:r w:rsidR="00D842CA" w:rsidRPr="006A72B9">
              <w:rPr>
                <w:rFonts w:ascii="Verdana" w:eastAsia="Verdana" w:hAnsi="Verdana"/>
                <w:bCs/>
                <w:sz w:val="21"/>
                <w:szCs w:val="21"/>
              </w:rPr>
              <w:t>, single session,</w:t>
            </w:r>
            <w:r w:rsidR="00643A8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positive intervention </w:t>
            </w:r>
            <w:r w:rsidR="0000769C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has been shown to be effective in enhancing positive mood at the time of vaccination and feasible to deliver in </w:t>
            </w:r>
            <w:r w:rsidR="00A97C53" w:rsidRPr="006A72B9">
              <w:rPr>
                <w:rFonts w:ascii="Verdana" w:eastAsia="Verdana" w:hAnsi="Verdana"/>
                <w:bCs/>
                <w:sz w:val="21"/>
                <w:szCs w:val="21"/>
              </w:rPr>
              <w:t>primary care. Working with the target patient group</w:t>
            </w:r>
            <w:r w:rsidR="00492491" w:rsidRPr="006A72B9">
              <w:rPr>
                <w:rFonts w:ascii="Verdana" w:eastAsia="Verdana" w:hAnsi="Verdana"/>
                <w:bCs/>
                <w:sz w:val="21"/>
                <w:szCs w:val="21"/>
              </w:rPr>
              <w:t>,</w:t>
            </w:r>
            <w:r w:rsidR="00A97C53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the applicant will co-create </w:t>
            </w:r>
            <w:r w:rsidR="00D6663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a version of the intervention that permits exposure to </w:t>
            </w:r>
            <w:r w:rsidR="00334556" w:rsidRPr="006A72B9">
              <w:rPr>
                <w:rFonts w:ascii="Verdana" w:eastAsia="Verdana" w:hAnsi="Verdana"/>
                <w:bCs/>
                <w:sz w:val="21"/>
                <w:szCs w:val="21"/>
              </w:rPr>
              <w:t>positive mood inducing material for up to 14 days post-vaccination.</w:t>
            </w:r>
          </w:p>
          <w:p w14:paraId="41FCEBF3" w14:textId="6C808AA5" w:rsidR="00334556" w:rsidRPr="006A72B9" w:rsidRDefault="00334556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>Aim 2</w:t>
            </w:r>
            <w:r w:rsidR="00224B17" w:rsidRPr="006A72B9">
              <w:rPr>
                <w:rFonts w:ascii="Verdana" w:eastAsia="Verdana" w:hAnsi="Verdana"/>
                <w:bCs/>
                <w:sz w:val="21"/>
                <w:szCs w:val="21"/>
              </w:rPr>
              <w:t>:</w:t>
            </w:r>
            <w:r w:rsidR="002341EB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r w:rsidR="00D077BB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Patients being targeted for vaccination (depending on timing of the project this may </w:t>
            </w:r>
            <w:r w:rsidR="00DB0A00" w:rsidRPr="006A72B9">
              <w:rPr>
                <w:rFonts w:ascii="Verdana" w:eastAsia="Verdana" w:hAnsi="Verdana"/>
                <w:bCs/>
                <w:sz w:val="21"/>
                <w:szCs w:val="21"/>
              </w:rPr>
              <w:t>focus on influenza or COVI</w:t>
            </w:r>
            <w:r w:rsidR="00DA34DA" w:rsidRPr="006A72B9">
              <w:rPr>
                <w:rFonts w:ascii="Verdana" w:eastAsia="Verdana" w:hAnsi="Verdana"/>
                <w:bCs/>
                <w:sz w:val="21"/>
                <w:szCs w:val="21"/>
              </w:rPr>
              <w:t>D</w:t>
            </w:r>
            <w:r w:rsidR="00DB0A00" w:rsidRPr="006A72B9">
              <w:rPr>
                <w:rFonts w:ascii="Verdana" w:eastAsia="Verdana" w:hAnsi="Verdana"/>
                <w:bCs/>
                <w:sz w:val="21"/>
                <w:szCs w:val="21"/>
              </w:rPr>
              <w:t>-19 vaccines) will be recruited from primary care</w:t>
            </w:r>
            <w:r w:rsidR="0086698A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to participate in a pilot trial</w:t>
            </w:r>
            <w:r w:rsidR="00DB0A00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. They will be randomly allocated to </w:t>
            </w:r>
            <w:r w:rsidR="000814CE" w:rsidRPr="006A72B9">
              <w:rPr>
                <w:rFonts w:ascii="Verdana" w:eastAsia="Verdana" w:hAnsi="Verdana"/>
                <w:bCs/>
                <w:sz w:val="21"/>
                <w:szCs w:val="21"/>
              </w:rPr>
              <w:t>receive no intervention; intervention on the day of vaccine only; intervention for up to 7 days post-vaccine</w:t>
            </w:r>
            <w:r w:rsidR="00DA34DA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or intervention for up to 14 days post-vaccination</w:t>
            </w:r>
            <w:r w:rsidR="00AC3C85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. Antibodies to the vaccine antigens will be measured at 4 weeks and 6 months post-vaccine to assess </w:t>
            </w:r>
            <w:r w:rsidR="00E5464B" w:rsidRPr="006A72B9">
              <w:rPr>
                <w:rFonts w:ascii="Verdana" w:eastAsia="Verdana" w:hAnsi="Verdana"/>
                <w:bCs/>
                <w:sz w:val="21"/>
                <w:szCs w:val="21"/>
              </w:rPr>
              <w:t>intervention effects on vaccine responses and durability of protection.</w:t>
            </w:r>
          </w:p>
          <w:p w14:paraId="471C43FB" w14:textId="63D9705E" w:rsidR="002341EB" w:rsidRPr="002341EB" w:rsidRDefault="002341EB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2341EB">
              <w:rPr>
                <w:rFonts w:ascii="Verdana" w:eastAsia="Verdana" w:hAnsi="Verdana"/>
                <w:bCs/>
                <w:sz w:val="21"/>
                <w:szCs w:val="21"/>
              </w:rPr>
              <w:t>Aim 3:</w:t>
            </w: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 </w:t>
            </w:r>
            <w:r w:rsidRPr="002341EB">
              <w:rPr>
                <w:rFonts w:ascii="Verdana" w:eastAsia="Verdana" w:hAnsi="Verdana"/>
                <w:bCs/>
                <w:sz w:val="21"/>
                <w:szCs w:val="21"/>
              </w:rPr>
              <w:t xml:space="preserve">A random sub-sample of patients in the pilot trial will be invited to have blood samples collected throughout the </w:t>
            </w:r>
            <w:proofErr w:type="gramStart"/>
            <w:r w:rsidRPr="002341EB">
              <w:rPr>
                <w:rFonts w:ascii="Verdana" w:eastAsia="Verdana" w:hAnsi="Verdana"/>
                <w:bCs/>
                <w:sz w:val="21"/>
                <w:szCs w:val="21"/>
              </w:rPr>
              <w:t>14 day</w:t>
            </w:r>
            <w:proofErr w:type="gramEnd"/>
            <w:r w:rsidRPr="002341EB">
              <w:rPr>
                <w:rFonts w:ascii="Verdana" w:eastAsia="Verdana" w:hAnsi="Verdana"/>
                <w:bCs/>
                <w:sz w:val="21"/>
                <w:szCs w:val="21"/>
              </w:rPr>
              <w:t xml:space="preserve"> follow-up period to explore potential cellular and humoral mechanisms</w:t>
            </w: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>.</w:t>
            </w:r>
          </w:p>
          <w:p w14:paraId="426AF871" w14:textId="094EEF74" w:rsidR="00892E66" w:rsidRDefault="00072636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Aim 4: Interviews will be conducted with patients and health care professionals </w:t>
            </w:r>
            <w:r w:rsidR="00892E66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involved in the pilot trial </w:t>
            </w:r>
            <w:r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to </w:t>
            </w:r>
            <w:r w:rsidR="003A0CA0" w:rsidRPr="006A72B9">
              <w:rPr>
                <w:rFonts w:ascii="Verdana" w:eastAsia="Verdana" w:hAnsi="Verdana"/>
                <w:bCs/>
                <w:sz w:val="21"/>
                <w:szCs w:val="21"/>
              </w:rPr>
              <w:t xml:space="preserve">identify </w:t>
            </w:r>
            <w:r w:rsidR="00892E66" w:rsidRPr="00892E66">
              <w:rPr>
                <w:rFonts w:ascii="Verdana" w:eastAsia="Verdana" w:hAnsi="Verdana"/>
                <w:bCs/>
                <w:sz w:val="21"/>
                <w:szCs w:val="21"/>
              </w:rPr>
              <w:t>barriers and facilitators to implementing the intervention in routine care.</w:t>
            </w:r>
          </w:p>
          <w:p w14:paraId="3444E7DE" w14:textId="77777777" w:rsidR="006A72B9" w:rsidRPr="00892E66" w:rsidRDefault="006A72B9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sz w:val="21"/>
                <w:szCs w:val="21"/>
              </w:rPr>
            </w:pPr>
          </w:p>
          <w:p w14:paraId="5C70F9E9" w14:textId="3D3B0EDC" w:rsidR="00EC48F1" w:rsidRPr="006A72B9" w:rsidRDefault="00CB32A1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/>
                <w:sz w:val="21"/>
                <w:szCs w:val="21"/>
              </w:rPr>
            </w:pPr>
            <w:r w:rsidRPr="006A72B9">
              <w:rPr>
                <w:rFonts w:ascii="Verdana" w:eastAsia="Verdana" w:hAnsi="Verdana"/>
                <w:b/>
                <w:sz w:val="21"/>
                <w:szCs w:val="21"/>
              </w:rPr>
              <w:t>Potential impact</w:t>
            </w:r>
            <w:r w:rsidR="006A72B9" w:rsidRPr="006A72B9">
              <w:rPr>
                <w:rFonts w:ascii="Verdana" w:eastAsia="Verdana" w:hAnsi="Verdana"/>
                <w:b/>
                <w:sz w:val="21"/>
                <w:szCs w:val="21"/>
              </w:rPr>
              <w:t>:</w:t>
            </w:r>
          </w:p>
          <w:p w14:paraId="7530555B" w14:textId="04AF8113" w:rsidR="00EC48F1" w:rsidRPr="00645ADB" w:rsidRDefault="009D54EE" w:rsidP="006A72B9">
            <w:pPr>
              <w:spacing w:before="32" w:after="10"/>
              <w:ind w:left="72"/>
              <w:textAlignment w:val="baseline"/>
              <w:rPr>
                <w:rFonts w:ascii="Verdana" w:eastAsia="Verdana" w:hAnsi="Verdana"/>
                <w:bCs/>
                <w:color w:val="2E74B4"/>
                <w:sz w:val="21"/>
                <w:szCs w:val="21"/>
              </w:rPr>
            </w:pPr>
            <w:r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Study findings will identify the ‘intervention dose’ at which </w:t>
            </w:r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>vaccine effectiveness is optimized</w:t>
            </w:r>
            <w:r w:rsidR="007A0C88">
              <w:rPr>
                <w:rFonts w:ascii="Verdana" w:eastAsia="Verdana" w:hAnsi="Verdana"/>
                <w:bCs/>
                <w:sz w:val="21"/>
                <w:szCs w:val="21"/>
              </w:rPr>
              <w:t xml:space="preserve"> and will </w:t>
            </w:r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inform </w:t>
            </w:r>
            <w:r w:rsidR="007A0C88">
              <w:rPr>
                <w:rFonts w:ascii="Verdana" w:eastAsia="Verdana" w:hAnsi="Verdana"/>
                <w:bCs/>
                <w:sz w:val="21"/>
                <w:szCs w:val="21"/>
              </w:rPr>
              <w:t xml:space="preserve">the design of </w:t>
            </w:r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a future </w:t>
            </w:r>
            <w:proofErr w:type="gramStart"/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>large scale</w:t>
            </w:r>
            <w:proofErr w:type="gramEnd"/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 trial</w:t>
            </w:r>
            <w:r w:rsidR="00B52B04">
              <w:rPr>
                <w:rFonts w:ascii="Verdana" w:eastAsia="Verdana" w:hAnsi="Verdana"/>
                <w:bCs/>
                <w:sz w:val="21"/>
                <w:szCs w:val="21"/>
              </w:rPr>
              <w:t>. The research has t</w:t>
            </w:r>
            <w:r w:rsidR="003F6054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he potential to </w:t>
            </w:r>
            <w:r w:rsidR="00877C00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provide a feasible and cost-effective way to enhance vaccine effectiveness </w:t>
            </w:r>
            <w:r w:rsidR="00B52B04">
              <w:rPr>
                <w:rFonts w:ascii="Verdana" w:eastAsia="Verdana" w:hAnsi="Verdana"/>
                <w:bCs/>
                <w:sz w:val="21"/>
                <w:szCs w:val="21"/>
              </w:rPr>
              <w:t>in the community and</w:t>
            </w:r>
            <w:r w:rsidR="00645ADB" w:rsidRPr="00645ADB">
              <w:rPr>
                <w:rFonts w:ascii="Verdana" w:eastAsia="Verdana" w:hAnsi="Verdana"/>
                <w:bCs/>
                <w:sz w:val="21"/>
                <w:szCs w:val="21"/>
              </w:rPr>
              <w:t xml:space="preserve"> thus protecting both the public and the NHS</w:t>
            </w:r>
            <w:r w:rsidR="00572136">
              <w:rPr>
                <w:rFonts w:ascii="Verdana" w:eastAsia="Verdana" w:hAnsi="Verdana"/>
                <w:bCs/>
                <w:sz w:val="21"/>
                <w:szCs w:val="21"/>
              </w:rPr>
              <w:t xml:space="preserve"> from the burden of vaccine preventable disease.</w:t>
            </w:r>
          </w:p>
        </w:tc>
      </w:tr>
      <w:tr w:rsidR="00EC48F1" w:rsidRPr="009F713E" w14:paraId="49258631" w14:textId="77777777">
        <w:trPr>
          <w:trHeight w:hRule="exact" w:val="36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F81AB7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Training plan:</w:t>
            </w:r>
          </w:p>
        </w:tc>
      </w:tr>
      <w:tr w:rsidR="00EC48F1" w:rsidRPr="009F713E" w14:paraId="61C53887" w14:textId="77777777" w:rsidTr="002341EB">
        <w:trPr>
          <w:trHeight w:hRule="exact" w:val="5742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9E9FB" w14:textId="77777777" w:rsidR="00EC48F1" w:rsidRPr="0033196F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33196F">
              <w:rPr>
                <w:rFonts w:ascii="Verdana" w:eastAsia="Verdana" w:hAnsi="Verdana"/>
                <w:b/>
                <w:sz w:val="21"/>
              </w:rPr>
              <w:lastRenderedPageBreak/>
              <w:t>Formal training:</w:t>
            </w:r>
          </w:p>
          <w:p w14:paraId="1EF241D2" w14:textId="61446C3E" w:rsidR="003D3997" w:rsidRDefault="009E534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 xml:space="preserve">The successful candidate would benefit from </w:t>
            </w:r>
            <w:r w:rsidR="005A18FA">
              <w:rPr>
                <w:rFonts w:ascii="Verdana" w:eastAsia="Verdana" w:hAnsi="Verdana"/>
                <w:bCs/>
                <w:sz w:val="21"/>
              </w:rPr>
              <w:t xml:space="preserve">the </w:t>
            </w:r>
            <w:r>
              <w:rPr>
                <w:rFonts w:ascii="Verdana" w:eastAsia="Verdana" w:hAnsi="Verdana"/>
                <w:bCs/>
                <w:sz w:val="21"/>
              </w:rPr>
              <w:t xml:space="preserve">formal training </w:t>
            </w:r>
            <w:proofErr w:type="spellStart"/>
            <w:r w:rsidR="005A18FA">
              <w:rPr>
                <w:rFonts w:ascii="Verdana" w:eastAsia="Verdana" w:hAnsi="Verdana"/>
                <w:bCs/>
                <w:sz w:val="21"/>
              </w:rPr>
              <w:t>programme</w:t>
            </w:r>
            <w:proofErr w:type="spellEnd"/>
            <w:r w:rsidR="005A18FA">
              <w:rPr>
                <w:rFonts w:ascii="Verdana" w:eastAsia="Verdana" w:hAnsi="Verdana"/>
                <w:bCs/>
                <w:sz w:val="21"/>
              </w:rPr>
              <w:t xml:space="preserve"> available for </w:t>
            </w:r>
            <w:r w:rsidR="00B65873">
              <w:rPr>
                <w:rFonts w:ascii="Verdana" w:eastAsia="Verdana" w:hAnsi="Verdana"/>
                <w:bCs/>
                <w:sz w:val="21"/>
              </w:rPr>
              <w:t>PhD candidates at the University of Nottingham. In addition</w:t>
            </w:r>
            <w:r w:rsidR="0034180D">
              <w:rPr>
                <w:rFonts w:ascii="Verdana" w:eastAsia="Verdana" w:hAnsi="Verdana"/>
                <w:bCs/>
                <w:sz w:val="21"/>
              </w:rPr>
              <w:t>,</w:t>
            </w:r>
            <w:r w:rsidR="00B65873">
              <w:rPr>
                <w:rFonts w:ascii="Verdana" w:eastAsia="Verdana" w:hAnsi="Verdana"/>
                <w:bCs/>
                <w:sz w:val="21"/>
              </w:rPr>
              <w:t xml:space="preserve"> formal training will be sought in the </w:t>
            </w:r>
            <w:r>
              <w:rPr>
                <w:rFonts w:ascii="Verdana" w:eastAsia="Verdana" w:hAnsi="Verdana"/>
                <w:bCs/>
                <w:sz w:val="21"/>
              </w:rPr>
              <w:t xml:space="preserve">following areas </w:t>
            </w:r>
            <w:r w:rsidR="00B65873">
              <w:rPr>
                <w:rFonts w:ascii="Verdana" w:eastAsia="Verdana" w:hAnsi="Verdana"/>
                <w:bCs/>
                <w:sz w:val="21"/>
              </w:rPr>
              <w:t>dependent on existing skills and expertise:</w:t>
            </w:r>
          </w:p>
          <w:p w14:paraId="17EB3813" w14:textId="00F34387" w:rsidR="0034180D" w:rsidRDefault="0034180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>Qualitative methods</w:t>
            </w:r>
          </w:p>
          <w:p w14:paraId="0F7233D7" w14:textId="0B04679B" w:rsidR="0034180D" w:rsidRDefault="0034180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>Clinical trial methods</w:t>
            </w:r>
          </w:p>
          <w:p w14:paraId="43074CA5" w14:textId="1EA13D1F" w:rsidR="0034180D" w:rsidRDefault="0034180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>PPIE</w:t>
            </w:r>
          </w:p>
          <w:p w14:paraId="2AB2A10F" w14:textId="64BD6532" w:rsidR="00573074" w:rsidRDefault="00573074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>Introductory and advanced statistics</w:t>
            </w:r>
          </w:p>
          <w:p w14:paraId="7E4B3F0E" w14:textId="7D9F42EE" w:rsidR="00EC48F1" w:rsidRPr="00867830" w:rsidRDefault="00CB32A1" w:rsidP="000F0CA2">
            <w:pPr>
              <w:spacing w:before="32" w:after="10" w:line="304" w:lineRule="exact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867830">
              <w:rPr>
                <w:rFonts w:ascii="Verdana" w:eastAsia="Verdana" w:hAnsi="Verdana"/>
                <w:b/>
                <w:sz w:val="21"/>
              </w:rPr>
              <w:t>Informal training:</w:t>
            </w:r>
          </w:p>
          <w:p w14:paraId="27BEE789" w14:textId="0F4A5696" w:rsidR="00EC48F1" w:rsidRPr="009F713E" w:rsidRDefault="00AB563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 w:rsidRPr="00867830">
              <w:rPr>
                <w:rFonts w:ascii="Verdana" w:eastAsia="Verdana" w:hAnsi="Verdana"/>
                <w:bCs/>
                <w:sz w:val="21"/>
              </w:rPr>
              <w:t xml:space="preserve">In addition, the successful candidate will benefit from informal training </w:t>
            </w:r>
            <w:r w:rsidR="00867830">
              <w:rPr>
                <w:rFonts w:ascii="Verdana" w:eastAsia="Verdana" w:hAnsi="Verdana"/>
                <w:bCs/>
                <w:sz w:val="21"/>
              </w:rPr>
              <w:t>through the named supervisory team</w:t>
            </w:r>
            <w:r w:rsidR="00540E05">
              <w:rPr>
                <w:rFonts w:ascii="Verdana" w:eastAsia="Verdana" w:hAnsi="Verdana"/>
                <w:bCs/>
                <w:sz w:val="21"/>
              </w:rPr>
              <w:t xml:space="preserve"> </w:t>
            </w:r>
            <w:proofErr w:type="gramStart"/>
            <w:r w:rsidR="00540E05">
              <w:rPr>
                <w:rFonts w:ascii="Verdana" w:eastAsia="Verdana" w:hAnsi="Verdana"/>
                <w:bCs/>
                <w:sz w:val="21"/>
              </w:rPr>
              <w:t xml:space="preserve">in particular </w:t>
            </w:r>
            <w:proofErr w:type="spellStart"/>
            <w:r w:rsidR="00E55D02">
              <w:rPr>
                <w:rFonts w:ascii="Verdana" w:eastAsia="Verdana" w:hAnsi="Verdana"/>
                <w:bCs/>
                <w:sz w:val="21"/>
              </w:rPr>
              <w:t>behavioural</w:t>
            </w:r>
            <w:proofErr w:type="spellEnd"/>
            <w:proofErr w:type="gramEnd"/>
            <w:r w:rsidR="00E55D02">
              <w:rPr>
                <w:rFonts w:ascii="Verdana" w:eastAsia="Verdana" w:hAnsi="Verdana"/>
                <w:bCs/>
                <w:sz w:val="21"/>
              </w:rPr>
              <w:t xml:space="preserve"> science, clinical immunology, laboratory methods</w:t>
            </w:r>
            <w:r w:rsidR="00573074">
              <w:rPr>
                <w:rFonts w:ascii="Verdana" w:eastAsia="Verdana" w:hAnsi="Verdana"/>
                <w:bCs/>
                <w:sz w:val="21"/>
              </w:rPr>
              <w:t>, public health and statistics.</w:t>
            </w:r>
            <w:r w:rsidR="00E55D02">
              <w:rPr>
                <w:rFonts w:ascii="Verdana" w:eastAsia="Verdana" w:hAnsi="Verdana"/>
                <w:bCs/>
                <w:sz w:val="21"/>
              </w:rPr>
              <w:t xml:space="preserve"> </w:t>
            </w:r>
          </w:p>
        </w:tc>
      </w:tr>
    </w:tbl>
    <w:p w14:paraId="05FA04AA" w14:textId="0BB2FC80" w:rsidR="00EC48F1" w:rsidRDefault="00CB32A1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91A44E" wp14:editId="2444980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49060" cy="2398131"/>
                <wp:effectExtent l="0" t="0" r="27940" b="2159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23981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91A16" w14:textId="77777777" w:rsidR="00EC48F1" w:rsidRPr="009F713E" w:rsidRDefault="00CB32A1">
                            <w:pPr>
                              <w:spacing w:before="501" w:line="319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2E74B4"/>
                                <w:sz w:val="21"/>
                              </w:rPr>
                            </w:pPr>
                            <w:r w:rsidRPr="009F713E">
                              <w:rPr>
                                <w:rFonts w:ascii="Verdana" w:eastAsia="Verdana" w:hAnsi="Verdana"/>
                                <w:b/>
                                <w:color w:val="2E74B4"/>
                                <w:sz w:val="21"/>
                              </w:rPr>
                              <w:t>PPIE:</w:t>
                            </w:r>
                          </w:p>
                          <w:p w14:paraId="08E291A7" w14:textId="7C2C8DCD" w:rsidR="009F713E" w:rsidRPr="00F241E3" w:rsidRDefault="00882D8A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</w:pPr>
                            <w:r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A PPIE group will be established early in the </w:t>
                            </w:r>
                            <w:proofErr w:type="spellStart"/>
                            <w:r w:rsidR="00637235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programme</w:t>
                            </w:r>
                            <w:proofErr w:type="spellEnd"/>
                            <w:r w:rsidR="00637235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 to ensure appropriate and effective PPIE throughout the research life cycle. This will</w:t>
                            </w:r>
                            <w:r w:rsidR="00241AE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 include, but not be limited to,</w:t>
                            </w:r>
                            <w:r w:rsidR="00FD5B74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="009D734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interviews and focus groups to permit </w:t>
                            </w:r>
                            <w:r w:rsidR="00FD5B74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co-creation of </w:t>
                            </w:r>
                            <w:r w:rsidR="009D734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the </w:t>
                            </w:r>
                            <w:proofErr w:type="gramStart"/>
                            <w:r w:rsidR="009D734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intervention</w:t>
                            </w:r>
                            <w:r w:rsidR="00241AE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;</w:t>
                            </w:r>
                            <w:proofErr w:type="gramEnd"/>
                            <w:r w:rsidR="00241AE1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 informing methods for pilot tri</w:t>
                            </w:r>
                            <w:r w:rsidR="0093220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al and topic guides for interviews.</w:t>
                            </w:r>
                          </w:p>
                          <w:p w14:paraId="012B32E8" w14:textId="77777777" w:rsidR="009F713E" w:rsidRDefault="009F713E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</w:rPr>
                            </w:pPr>
                          </w:p>
                          <w:p w14:paraId="260E4852" w14:textId="77777777" w:rsidR="009F713E" w:rsidRDefault="009F713E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</w:rPr>
                            </w:pPr>
                          </w:p>
                          <w:p w14:paraId="68BF00B7" w14:textId="0CF93EBE" w:rsidR="00EC48F1" w:rsidRDefault="00EC48F1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A44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507.8pt;height:188.85pt;z-index:-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" filled="f">
                <v:textbox inset="0,0,0,0">
                  <w:txbxContent>
                    <w:p w14:paraId="49A91A16" w14:textId="77777777" w:rsidR="00EC48F1" w:rsidRPr="009F713E" w:rsidRDefault="00CB32A1">
                      <w:pPr>
                        <w:spacing w:before="501" w:line="319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2E74B4"/>
                          <w:sz w:val="21"/>
                        </w:rPr>
                      </w:pPr>
                      <w:r w:rsidRPr="009F713E">
                        <w:rPr>
                          <w:rFonts w:ascii="Verdana" w:eastAsia="Verdana" w:hAnsi="Verdana"/>
                          <w:b/>
                          <w:color w:val="2E74B4"/>
                          <w:sz w:val="21"/>
                        </w:rPr>
                        <w:t>PPIE:</w:t>
                      </w:r>
                    </w:p>
                    <w:p w14:paraId="08E291A7" w14:textId="7C2C8DCD" w:rsidR="009F713E" w:rsidRPr="00F241E3" w:rsidRDefault="00882D8A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</w:pPr>
                      <w:r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A PPIE group will be established early in the </w:t>
                      </w:r>
                      <w:proofErr w:type="spellStart"/>
                      <w:r w:rsidR="00637235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programme</w:t>
                      </w:r>
                      <w:proofErr w:type="spellEnd"/>
                      <w:r w:rsidR="00637235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 to ensure appropriate and effective PPIE throughout the research life cycle. This will</w:t>
                      </w:r>
                      <w:r w:rsidR="00241AE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 include, but not be limited to,</w:t>
                      </w:r>
                      <w:r w:rsidR="00FD5B74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 </w:t>
                      </w:r>
                      <w:r w:rsidR="009D734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interviews and focus groups to permit </w:t>
                      </w:r>
                      <w:r w:rsidR="00FD5B74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co-creation of </w:t>
                      </w:r>
                      <w:r w:rsidR="009D734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the </w:t>
                      </w:r>
                      <w:proofErr w:type="gramStart"/>
                      <w:r w:rsidR="009D734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intervention</w:t>
                      </w:r>
                      <w:r w:rsidR="00241AE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;</w:t>
                      </w:r>
                      <w:proofErr w:type="gramEnd"/>
                      <w:r w:rsidR="00241AE1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 informing methods for pilot tri</w:t>
                      </w:r>
                      <w:r w:rsidR="0093220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al and topic guides for interviews.</w:t>
                      </w:r>
                    </w:p>
                    <w:p w14:paraId="012B32E8" w14:textId="77777777" w:rsidR="009F713E" w:rsidRDefault="009F713E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</w:rPr>
                      </w:pPr>
                    </w:p>
                    <w:p w14:paraId="260E4852" w14:textId="77777777" w:rsidR="009F713E" w:rsidRDefault="009F713E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</w:rPr>
                      </w:pPr>
                    </w:p>
                    <w:p w14:paraId="68BF00B7" w14:textId="0CF93EBE" w:rsidR="00EC48F1" w:rsidRDefault="00EC48F1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C48F1">
      <w:pgSz w:w="11923" w:h="16843"/>
      <w:pgMar w:top="720" w:right="1056" w:bottom="324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5751A"/>
    <w:multiLevelType w:val="multilevel"/>
    <w:tmpl w:val="75E4311E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F1"/>
    <w:rsid w:val="0000769C"/>
    <w:rsid w:val="000439B0"/>
    <w:rsid w:val="00072636"/>
    <w:rsid w:val="000814CE"/>
    <w:rsid w:val="000C3065"/>
    <w:rsid w:val="000D4189"/>
    <w:rsid w:val="000F0CA2"/>
    <w:rsid w:val="00122663"/>
    <w:rsid w:val="00184250"/>
    <w:rsid w:val="001A3314"/>
    <w:rsid w:val="001A4433"/>
    <w:rsid w:val="001E4740"/>
    <w:rsid w:val="00212206"/>
    <w:rsid w:val="00224B17"/>
    <w:rsid w:val="002341EB"/>
    <w:rsid w:val="0023779A"/>
    <w:rsid w:val="00241AE1"/>
    <w:rsid w:val="0026659C"/>
    <w:rsid w:val="00281DC1"/>
    <w:rsid w:val="0029033E"/>
    <w:rsid w:val="003206A7"/>
    <w:rsid w:val="0033196F"/>
    <w:rsid w:val="00334556"/>
    <w:rsid w:val="0034180D"/>
    <w:rsid w:val="00394CA1"/>
    <w:rsid w:val="003A0CA0"/>
    <w:rsid w:val="003D3997"/>
    <w:rsid w:val="003F6054"/>
    <w:rsid w:val="00471422"/>
    <w:rsid w:val="00487A37"/>
    <w:rsid w:val="00492491"/>
    <w:rsid w:val="004942C5"/>
    <w:rsid w:val="004D16BE"/>
    <w:rsid w:val="00540E05"/>
    <w:rsid w:val="00541987"/>
    <w:rsid w:val="00544515"/>
    <w:rsid w:val="005529EC"/>
    <w:rsid w:val="00572136"/>
    <w:rsid w:val="00573074"/>
    <w:rsid w:val="00584FC0"/>
    <w:rsid w:val="005A18FA"/>
    <w:rsid w:val="005D79B1"/>
    <w:rsid w:val="005E48D6"/>
    <w:rsid w:val="00637235"/>
    <w:rsid w:val="00643A86"/>
    <w:rsid w:val="00645ADB"/>
    <w:rsid w:val="00675B22"/>
    <w:rsid w:val="00694B63"/>
    <w:rsid w:val="006A72B9"/>
    <w:rsid w:val="006E3EF2"/>
    <w:rsid w:val="00701E41"/>
    <w:rsid w:val="007157C3"/>
    <w:rsid w:val="0077369E"/>
    <w:rsid w:val="007751F5"/>
    <w:rsid w:val="007A0C88"/>
    <w:rsid w:val="007D502E"/>
    <w:rsid w:val="007F27E0"/>
    <w:rsid w:val="00816DE4"/>
    <w:rsid w:val="008315B4"/>
    <w:rsid w:val="0085530C"/>
    <w:rsid w:val="0086698A"/>
    <w:rsid w:val="00867830"/>
    <w:rsid w:val="00877C00"/>
    <w:rsid w:val="00882D8A"/>
    <w:rsid w:val="00892E66"/>
    <w:rsid w:val="008B1FA6"/>
    <w:rsid w:val="008D12F7"/>
    <w:rsid w:val="008D4C62"/>
    <w:rsid w:val="008E2D3E"/>
    <w:rsid w:val="008E5E18"/>
    <w:rsid w:val="008F7733"/>
    <w:rsid w:val="00932203"/>
    <w:rsid w:val="00957E00"/>
    <w:rsid w:val="00980DBD"/>
    <w:rsid w:val="00993566"/>
    <w:rsid w:val="0099528F"/>
    <w:rsid w:val="009973B6"/>
    <w:rsid w:val="009B4219"/>
    <w:rsid w:val="009D0CE6"/>
    <w:rsid w:val="009D54EE"/>
    <w:rsid w:val="009D7341"/>
    <w:rsid w:val="009E5347"/>
    <w:rsid w:val="009F3621"/>
    <w:rsid w:val="009F713E"/>
    <w:rsid w:val="00A04522"/>
    <w:rsid w:val="00A32B99"/>
    <w:rsid w:val="00A37CEC"/>
    <w:rsid w:val="00A477D3"/>
    <w:rsid w:val="00A64BDB"/>
    <w:rsid w:val="00A97C53"/>
    <w:rsid w:val="00AB5637"/>
    <w:rsid w:val="00AC3C85"/>
    <w:rsid w:val="00B32EAF"/>
    <w:rsid w:val="00B52B04"/>
    <w:rsid w:val="00B65873"/>
    <w:rsid w:val="00B70478"/>
    <w:rsid w:val="00BB02DC"/>
    <w:rsid w:val="00C14702"/>
    <w:rsid w:val="00C46C4F"/>
    <w:rsid w:val="00C559DF"/>
    <w:rsid w:val="00C64DFD"/>
    <w:rsid w:val="00C9275C"/>
    <w:rsid w:val="00CB32A1"/>
    <w:rsid w:val="00D077BB"/>
    <w:rsid w:val="00D265AF"/>
    <w:rsid w:val="00D66636"/>
    <w:rsid w:val="00D842CA"/>
    <w:rsid w:val="00D871B3"/>
    <w:rsid w:val="00DA34DA"/>
    <w:rsid w:val="00DA59AF"/>
    <w:rsid w:val="00DB0A00"/>
    <w:rsid w:val="00DB4603"/>
    <w:rsid w:val="00DD6750"/>
    <w:rsid w:val="00DF5CFB"/>
    <w:rsid w:val="00DF63C9"/>
    <w:rsid w:val="00E15B97"/>
    <w:rsid w:val="00E5464B"/>
    <w:rsid w:val="00E55D02"/>
    <w:rsid w:val="00E62FB3"/>
    <w:rsid w:val="00E95664"/>
    <w:rsid w:val="00EC48F1"/>
    <w:rsid w:val="00EC597C"/>
    <w:rsid w:val="00ED58D8"/>
    <w:rsid w:val="00EE0767"/>
    <w:rsid w:val="00F106E2"/>
    <w:rsid w:val="00F226FB"/>
    <w:rsid w:val="00F241E3"/>
    <w:rsid w:val="00F36796"/>
    <w:rsid w:val="00F555B3"/>
    <w:rsid w:val="00F90520"/>
    <w:rsid w:val="00FB1434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D5AC"/>
  <w15:docId w15:val="{01D1FD87-5DDF-4D9A-B301-8038D9B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BA51D-BAAC-4775-9A42-31D40EC78A70}"/>
</file>

<file path=customXml/itemProps2.xml><?xml version="1.0" encoding="utf-8"?>
<ds:datastoreItem xmlns:ds="http://schemas.openxmlformats.org/officeDocument/2006/customXml" ds:itemID="{C77B42B7-1E49-4858-B3A0-90547F456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B95CD-9B83-4FF6-9CCF-07A06695E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Pepper (staff)</dc:creator>
  <cp:lastModifiedBy>Kavita Vedhara (staff)</cp:lastModifiedBy>
  <cp:revision>127</cp:revision>
  <dcterms:created xsi:type="dcterms:W3CDTF">2022-01-13T08:25:00Z</dcterms:created>
  <dcterms:modified xsi:type="dcterms:W3CDTF">2022-01-13T11:30:00Z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