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7200CB4E"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980F3B" w:rsidR="00FF6AEA" w:rsidP="00A42FF3" w:rsidRDefault="00FF6AEA" w14:paraId="3D6AB031" w14:textId="45EB8841">
            <w:pPr>
              <w:rPr>
                <w:rFonts w:asciiTheme="minorHAnsi" w:hAnsiTheme="minorHAnsi"/>
                <w:color w:val="2E74B5" w:themeColor="accent1" w:themeShade="BF"/>
                <w:szCs w:val="24"/>
              </w:rPr>
            </w:pPr>
            <w:r w:rsidRPr="00980F3B">
              <w:rPr>
                <w:rFonts w:asciiTheme="minorHAnsi" w:hAnsiTheme="minorHAnsi"/>
                <w:color w:val="2E74B5" w:themeColor="accent1" w:themeShade="BF"/>
                <w:szCs w:val="24"/>
              </w:rPr>
              <w:t>Host department:</w:t>
            </w:r>
            <w:sdt>
              <w:sdtPr>
                <w:rPr>
                  <w:rFonts w:asciiTheme="minorHAnsi" w:hAnsiTheme="minorHAnsi"/>
                  <w:color w:val="2E74B5" w:themeColor="accent1" w:themeShade="BF"/>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Pr="00980F3B" w:rsidR="00745268">
                  <w:rPr>
                    <w:rFonts w:asciiTheme="minorHAnsi" w:hAnsiTheme="minorHAnsi"/>
                    <w:color w:val="2E74B5" w:themeColor="accent1" w:themeShade="BF"/>
                    <w:szCs w:val="24"/>
                  </w:rPr>
                  <w:t xml:space="preserve"> Keele</w:t>
                </w:r>
              </w:sdtContent>
            </w:sdt>
          </w:p>
        </w:tc>
      </w:tr>
      <w:tr w:rsidRPr="00323521" w:rsidR="008A5DEB" w:rsidTr="7200CB4E"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80F3B" w:rsidR="008A5DEB" w:rsidP="00A42FF3" w:rsidRDefault="00FF6AEA" w14:paraId="0788EA43" w14:textId="61A0099C">
            <w:pPr>
              <w:rPr>
                <w:rFonts w:asciiTheme="minorHAnsi" w:hAnsiTheme="minorHAnsi"/>
                <w:szCs w:val="24"/>
              </w:rPr>
            </w:pPr>
            <w:r w:rsidRPr="00980F3B">
              <w:rPr>
                <w:rFonts w:asciiTheme="minorHAnsi" w:hAnsiTheme="minorHAnsi"/>
                <w:color w:val="2E74B5" w:themeColor="accent1" w:themeShade="BF"/>
                <w:szCs w:val="24"/>
              </w:rPr>
              <w:t xml:space="preserve">Project </w:t>
            </w:r>
            <w:r w:rsidRPr="00980F3B" w:rsidR="008A5DEB">
              <w:rPr>
                <w:rFonts w:asciiTheme="minorHAnsi" w:hAnsiTheme="minorHAnsi"/>
                <w:color w:val="2E74B5" w:themeColor="accent1" w:themeShade="BF"/>
                <w:szCs w:val="24"/>
              </w:rPr>
              <w:t>Title:</w:t>
            </w:r>
            <w:r w:rsidRPr="00980F3B" w:rsidR="0083630C">
              <w:rPr>
                <w:szCs w:val="24"/>
              </w:rPr>
              <w:t xml:space="preserve"> </w:t>
            </w:r>
            <w:r w:rsidRPr="00B5282A" w:rsidR="00B5282A">
              <w:rPr>
                <w:rFonts w:asciiTheme="minorHAnsi" w:hAnsiTheme="minorHAnsi" w:cstheme="minorHAnsi"/>
                <w:sz w:val="20"/>
              </w:rPr>
              <w:t>Evidence-informed Self-management among older Adults with musculoskeletal pain and comorbidities in community settings: A knowledge mobilisation PhD study.</w:t>
            </w:r>
          </w:p>
        </w:tc>
      </w:tr>
      <w:tr w:rsidRPr="00323521" w:rsidR="008A5DEB" w:rsidTr="7200CB4E" w14:paraId="082EE4C0" w14:textId="77777777">
        <w:trPr>
          <w:trHeight w:val="62"/>
        </w:trPr>
        <w:tc>
          <w:tcPr>
            <w:cnfStyle w:val="001000000000" w:firstRow="0" w:lastRow="0" w:firstColumn="1" w:lastColumn="0" w:oddVBand="0" w:evenVBand="0" w:oddHBand="0" w:evenHBand="0" w:firstRowFirstColumn="0" w:firstRowLastColumn="0" w:lastRowFirstColumn="0" w:lastRowLastColumn="0"/>
            <w:tcW w:w="10343" w:type="dxa"/>
            <w:tcMar/>
          </w:tcPr>
          <w:p w:rsidRPr="00B5282A" w:rsidR="00274ACB" w:rsidP="00A42FF3" w:rsidRDefault="00274ACB" w14:paraId="7173F29A" w14:textId="51599D30">
            <w:pPr>
              <w:rPr>
                <w:rFonts w:asciiTheme="minorHAnsi" w:hAnsiTheme="minorHAnsi"/>
                <w:sz w:val="16"/>
                <w:szCs w:val="16"/>
              </w:rPr>
            </w:pPr>
          </w:p>
        </w:tc>
      </w:tr>
      <w:tr w:rsidRPr="00323521" w:rsidR="00E0356E" w:rsidTr="7200CB4E"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80F3B" w:rsidR="00E0356E" w:rsidP="00A42FF3" w:rsidRDefault="00E0356E" w14:paraId="0A0A5552" w14:textId="2ED340A0">
            <w:pPr>
              <w:rPr>
                <w:rFonts w:asciiTheme="minorHAnsi" w:hAnsiTheme="minorHAnsi"/>
                <w:szCs w:val="24"/>
              </w:rPr>
            </w:pPr>
            <w:r w:rsidRPr="00980F3B">
              <w:rPr>
                <w:rFonts w:asciiTheme="minorHAnsi" w:hAnsiTheme="minorHAnsi"/>
                <w:color w:val="2E74B5" w:themeColor="accent1" w:themeShade="BF"/>
                <w:szCs w:val="24"/>
              </w:rPr>
              <w:t>Proposed supervisory team:</w:t>
            </w:r>
            <w:r w:rsidRPr="00980F3B" w:rsidR="002F31FE">
              <w:rPr>
                <w:rFonts w:asciiTheme="minorHAnsi" w:hAnsiTheme="minorHAnsi"/>
                <w:szCs w:val="24"/>
              </w:rPr>
              <w:t xml:space="preserve">                                      Names and areas of expertise to be included</w:t>
            </w:r>
          </w:p>
        </w:tc>
      </w:tr>
      <w:tr w:rsidRPr="00323521" w:rsidR="00E0356E" w:rsidTr="7200CB4E"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A42FF3" w:rsidRDefault="00745268" w14:paraId="7C2C4598" w14:textId="36B3AC43">
            <w:pPr>
              <w:pStyle w:val="ListParagraph"/>
              <w:numPr>
                <w:ilvl w:val="0"/>
                <w:numId w:val="5"/>
              </w:numPr>
              <w:contextualSpacing w:val="0"/>
              <w:rPr>
                <w:rFonts w:asciiTheme="minorHAnsi" w:hAnsiTheme="minorHAnsi" w:cstheme="minorHAnsi"/>
                <w:bCs w:val="0"/>
                <w:sz w:val="20"/>
              </w:rPr>
            </w:pPr>
            <w:r w:rsidRPr="00980F3B">
              <w:rPr>
                <w:rFonts w:asciiTheme="minorHAnsi" w:hAnsiTheme="minorHAnsi" w:cstheme="minorHAnsi"/>
                <w:bCs w:val="0"/>
                <w:sz w:val="20"/>
              </w:rPr>
              <w:t>Dr Opeyemi Babatunde</w:t>
            </w:r>
            <w:r w:rsidRPr="00980F3B">
              <w:rPr>
                <w:rFonts w:asciiTheme="minorHAnsi" w:hAnsiTheme="minorHAnsi" w:cstheme="minorHAnsi"/>
                <w:sz w:val="20"/>
              </w:rPr>
              <w:t xml:space="preserve">: </w:t>
            </w:r>
            <w:r w:rsidRPr="00980F3B">
              <w:rPr>
                <w:rFonts w:asciiTheme="minorHAnsi" w:hAnsiTheme="minorHAnsi" w:cstheme="minorHAnsi"/>
                <w:b w:val="0"/>
                <w:sz w:val="20"/>
              </w:rPr>
              <w:t>Knowledge mobilisation, Evidence synthesis, Multimorbidity, Musculoskeletal pain and multimorbidity, Patient and Public Involvement</w:t>
            </w:r>
            <w:r w:rsidRPr="00980F3B" w:rsidR="000C2AB2">
              <w:rPr>
                <w:rFonts w:asciiTheme="minorHAnsi" w:hAnsiTheme="minorHAnsi" w:cstheme="minorHAnsi"/>
                <w:b w:val="0"/>
                <w:sz w:val="20"/>
              </w:rPr>
              <w:t>.</w:t>
            </w:r>
          </w:p>
          <w:p w:rsidRPr="00980F3B" w:rsidR="002812C3" w:rsidP="00A42FF3" w:rsidRDefault="002812C3" w14:paraId="25E45E15" w14:textId="3EA61E57">
            <w:pPr>
              <w:pStyle w:val="ListParagraph"/>
              <w:numPr>
                <w:ilvl w:val="0"/>
                <w:numId w:val="5"/>
              </w:numPr>
              <w:contextualSpacing w:val="0"/>
              <w:rPr>
                <w:rFonts w:asciiTheme="minorHAnsi" w:hAnsiTheme="minorHAnsi" w:cstheme="minorHAnsi"/>
                <w:bCs w:val="0"/>
                <w:sz w:val="20"/>
              </w:rPr>
            </w:pPr>
            <w:r>
              <w:rPr>
                <w:rFonts w:asciiTheme="minorHAnsi" w:hAnsiTheme="minorHAnsi" w:cstheme="minorHAnsi"/>
                <w:bCs w:val="0"/>
                <w:sz w:val="20"/>
              </w:rPr>
              <w:t xml:space="preserve">Dr Shoba Dawson: </w:t>
            </w:r>
            <w:r w:rsidRPr="002812C3">
              <w:rPr>
                <w:rFonts w:asciiTheme="minorHAnsi" w:hAnsiTheme="minorHAnsi" w:cstheme="minorHAnsi"/>
                <w:b w:val="0"/>
                <w:bCs w:val="0"/>
                <w:sz w:val="20"/>
              </w:rPr>
              <w:t>M</w:t>
            </w:r>
            <w:r w:rsidRPr="002812C3">
              <w:rPr>
                <w:rFonts w:asciiTheme="minorHAnsi" w:hAnsiTheme="minorHAnsi" w:cstheme="minorHAnsi"/>
                <w:b w:val="0"/>
                <w:sz w:val="20"/>
              </w:rPr>
              <w:t>ultimorbidity, health inequalities and patient and public involvement and engagement.</w:t>
            </w:r>
          </w:p>
          <w:p w:rsidRPr="00980F3B" w:rsidR="00745268" w:rsidP="00A42FF3" w:rsidRDefault="00745268" w14:paraId="56463D66" w14:textId="259E77BC">
            <w:pPr>
              <w:pStyle w:val="ListParagraph"/>
              <w:numPr>
                <w:ilvl w:val="0"/>
                <w:numId w:val="5"/>
              </w:numPr>
              <w:rPr>
                <w:rFonts w:asciiTheme="minorHAnsi" w:hAnsiTheme="minorHAnsi" w:cstheme="minorHAnsi"/>
                <w:b w:val="0"/>
                <w:bCs w:val="0"/>
                <w:sz w:val="20"/>
              </w:rPr>
            </w:pPr>
            <w:r w:rsidRPr="00980F3B">
              <w:rPr>
                <w:rFonts w:asciiTheme="minorHAnsi" w:hAnsiTheme="minorHAnsi" w:cstheme="minorHAnsi"/>
                <w:sz w:val="20"/>
              </w:rPr>
              <w:t xml:space="preserve">Prof Krysia Dziedzic: </w:t>
            </w:r>
            <w:r w:rsidRPr="00980F3B">
              <w:rPr>
                <w:rFonts w:asciiTheme="minorHAnsi" w:hAnsiTheme="minorHAnsi" w:cstheme="minorHAnsi"/>
                <w:b w:val="0"/>
                <w:bCs w:val="0"/>
                <w:sz w:val="20"/>
              </w:rPr>
              <w:t>Professor of Musculoskeletal Therapies; Implementation research</w:t>
            </w:r>
            <w:r w:rsidRPr="00980F3B" w:rsidR="000C2AB2">
              <w:rPr>
                <w:rFonts w:asciiTheme="minorHAnsi" w:hAnsiTheme="minorHAnsi" w:cstheme="minorHAnsi"/>
                <w:b w:val="0"/>
                <w:bCs w:val="0"/>
                <w:sz w:val="20"/>
              </w:rPr>
              <w:t>.</w:t>
            </w:r>
          </w:p>
          <w:p w:rsidRPr="00980F3B" w:rsidR="00274ACB" w:rsidP="00A42FF3" w:rsidRDefault="00745268" w14:paraId="4976C3BE" w14:textId="6C55E80A">
            <w:pPr>
              <w:pStyle w:val="ListParagraph"/>
              <w:numPr>
                <w:ilvl w:val="0"/>
                <w:numId w:val="5"/>
              </w:numPr>
              <w:rPr>
                <w:rFonts w:asciiTheme="minorHAnsi" w:hAnsiTheme="minorHAnsi"/>
                <w:b w:val="0"/>
                <w:sz w:val="20"/>
              </w:rPr>
            </w:pPr>
            <w:r w:rsidRPr="00980F3B">
              <w:rPr>
                <w:rFonts w:asciiTheme="minorHAnsi" w:hAnsiTheme="minorHAnsi" w:cstheme="minorHAnsi"/>
                <w:sz w:val="20"/>
              </w:rPr>
              <w:t xml:space="preserve">Prof Carolyn Chew Graham: </w:t>
            </w:r>
            <w:r w:rsidRPr="00980F3B">
              <w:rPr>
                <w:rFonts w:asciiTheme="minorHAnsi" w:hAnsiTheme="minorHAnsi" w:cstheme="minorHAnsi"/>
                <w:b w:val="0"/>
                <w:bCs w:val="0"/>
                <w:sz w:val="20"/>
              </w:rPr>
              <w:t xml:space="preserve">GP, Professor of General Practice Research, Mental health, Multimorbidity, Qualitative Research Methods </w:t>
            </w:r>
            <w:r w:rsidR="00A42FF3">
              <w:rPr>
                <w:rFonts w:asciiTheme="minorHAnsi" w:hAnsiTheme="minorHAnsi" w:cstheme="minorHAnsi"/>
                <w:b w:val="0"/>
                <w:bCs w:val="0"/>
                <w:sz w:val="20"/>
              </w:rPr>
              <w:t xml:space="preserve">and </w:t>
            </w:r>
            <w:r w:rsidRPr="00980F3B">
              <w:rPr>
                <w:rFonts w:asciiTheme="minorHAnsi" w:hAnsiTheme="minorHAnsi" w:cstheme="minorHAnsi"/>
                <w:b w:val="0"/>
                <w:bCs w:val="0"/>
                <w:sz w:val="20"/>
              </w:rPr>
              <w:t>Ethnography</w:t>
            </w:r>
            <w:r w:rsidR="002812C3">
              <w:rPr>
                <w:rFonts w:asciiTheme="minorHAnsi" w:hAnsiTheme="minorHAnsi" w:cstheme="minorHAnsi"/>
                <w:b w:val="0"/>
                <w:bCs w:val="0"/>
                <w:sz w:val="20"/>
              </w:rPr>
              <w:t>.</w:t>
            </w:r>
          </w:p>
        </w:tc>
      </w:tr>
      <w:tr w:rsidRPr="00323521" w:rsidR="00787EF3" w:rsidTr="7200CB4E"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80F3B" w:rsidR="00787EF3" w:rsidP="00A42FF3" w:rsidRDefault="00787EF3" w14:paraId="0770045B" w14:textId="2C76F51A">
            <w:pPr>
              <w:rPr>
                <w:rFonts w:ascii="Calibri" w:hAnsi="Calibri" w:cs="Calibri"/>
                <w:b w:val="0"/>
                <w:color w:val="2E74B5" w:themeColor="accent1" w:themeShade="BF"/>
                <w:szCs w:val="24"/>
              </w:rPr>
            </w:pPr>
            <w:r w:rsidRPr="00980F3B">
              <w:rPr>
                <w:rFonts w:ascii="Calibri" w:hAnsi="Calibri" w:cs="Calibri"/>
                <w:color w:val="2E74B5" w:themeColor="accent1" w:themeShade="BF"/>
                <w:szCs w:val="24"/>
              </w:rPr>
              <w:t>Potential for cross consortium networking and educational opportunities:</w:t>
            </w:r>
          </w:p>
        </w:tc>
      </w:tr>
      <w:tr w:rsidRPr="00323521" w:rsidR="00787EF3" w:rsidTr="7200CB4E"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BD00CC" w:rsidP="00BD00CC" w:rsidRDefault="00BD00CC" w14:paraId="48081ABC" w14:textId="27B4F6E8">
            <w:pPr>
              <w:pStyle w:val="ListParagraph"/>
              <w:ind w:left="0"/>
              <w:jc w:val="both"/>
              <w:rPr>
                <w:rFonts w:asciiTheme="minorHAnsi" w:hAnsiTheme="minorHAnsi"/>
                <w:bCs w:val="0"/>
                <w:sz w:val="20"/>
              </w:rPr>
            </w:pPr>
            <w:r>
              <w:rPr>
                <w:rFonts w:asciiTheme="minorHAnsi" w:hAnsiTheme="minorHAnsi"/>
                <w:b w:val="0"/>
                <w:sz w:val="20"/>
              </w:rPr>
              <w:t xml:space="preserve">The student will work </w:t>
            </w:r>
            <w:r w:rsidRPr="00BD00CC">
              <w:rPr>
                <w:rFonts w:asciiTheme="minorHAnsi" w:hAnsiTheme="minorHAnsi"/>
                <w:b w:val="0"/>
                <w:sz w:val="20"/>
              </w:rPr>
              <w:t xml:space="preserve">with key stakeholders </w:t>
            </w:r>
            <w:r>
              <w:rPr>
                <w:rFonts w:asciiTheme="minorHAnsi" w:hAnsiTheme="minorHAnsi"/>
                <w:b w:val="0"/>
                <w:sz w:val="20"/>
              </w:rPr>
              <w:t>including</w:t>
            </w:r>
            <w:r w:rsidRPr="00BD00CC">
              <w:rPr>
                <w:rFonts w:asciiTheme="minorHAnsi" w:hAnsiTheme="minorHAnsi"/>
                <w:b w:val="0"/>
                <w:sz w:val="20"/>
              </w:rPr>
              <w:t xml:space="preserve"> members of Keele’s LINK group (who bring personal and volunteering networks and experiences from national charities, local community groups, patient support groups, NHS organisations and volunteer networks, to help support implementation activity), General Practitioners, Knowledge Mobilisation experts, </w:t>
            </w:r>
            <w:r w:rsidR="00D143C8">
              <w:rPr>
                <w:rFonts w:asciiTheme="minorHAnsi" w:hAnsiTheme="minorHAnsi"/>
                <w:b w:val="0"/>
                <w:sz w:val="20"/>
              </w:rPr>
              <w:t xml:space="preserve">NICE </w:t>
            </w:r>
            <w:r w:rsidRPr="00BD00CC">
              <w:rPr>
                <w:rFonts w:asciiTheme="minorHAnsi" w:hAnsiTheme="minorHAnsi"/>
                <w:b w:val="0"/>
                <w:sz w:val="20"/>
              </w:rPr>
              <w:t>Clinical guideline working group members (for MSK and MH), Keele research user group members (RUG PPIE) and race equality and diversity ambassadors.</w:t>
            </w:r>
          </w:p>
          <w:p w:rsidR="00BD00CC" w:rsidP="00BD00CC" w:rsidRDefault="00BD00CC" w14:paraId="000EDE26" w14:textId="77777777">
            <w:pPr>
              <w:pStyle w:val="ListParagraph"/>
              <w:ind w:left="0"/>
              <w:jc w:val="both"/>
              <w:rPr>
                <w:rFonts w:asciiTheme="minorHAnsi" w:hAnsiTheme="minorHAnsi"/>
                <w:bCs w:val="0"/>
                <w:sz w:val="20"/>
              </w:rPr>
            </w:pPr>
          </w:p>
          <w:p w:rsidR="00BD00CC" w:rsidP="00BD00CC" w:rsidRDefault="00565132" w14:paraId="4C68F56F" w14:textId="2D465FDB">
            <w:pPr>
              <w:pStyle w:val="ListParagraph"/>
              <w:ind w:left="0"/>
              <w:jc w:val="both"/>
              <w:rPr>
                <w:rFonts w:asciiTheme="minorHAnsi" w:hAnsiTheme="minorHAnsi"/>
                <w:bCs w:val="0"/>
                <w:sz w:val="20"/>
              </w:rPr>
            </w:pPr>
            <w:r>
              <w:rPr>
                <w:rFonts w:asciiTheme="minorHAnsi" w:hAnsiTheme="minorHAnsi"/>
                <w:b w:val="0"/>
                <w:sz w:val="20"/>
              </w:rPr>
              <w:t xml:space="preserve">Keele </w:t>
            </w:r>
            <w:r w:rsidRPr="00565132">
              <w:rPr>
                <w:rFonts w:asciiTheme="minorHAnsi" w:hAnsiTheme="minorHAnsi"/>
                <w:b w:val="0"/>
                <w:sz w:val="20"/>
              </w:rPr>
              <w:t xml:space="preserve">School of Medicine and </w:t>
            </w:r>
            <w:r w:rsidR="00BD00CC">
              <w:rPr>
                <w:rFonts w:asciiTheme="minorHAnsi" w:hAnsiTheme="minorHAnsi"/>
                <w:b w:val="0"/>
                <w:sz w:val="20"/>
              </w:rPr>
              <w:t>Keele Impact Accelerator Unit (</w:t>
            </w:r>
            <w:r w:rsidRPr="00565132">
              <w:rPr>
                <w:rFonts w:asciiTheme="minorHAnsi" w:hAnsiTheme="minorHAnsi"/>
                <w:b w:val="0"/>
                <w:sz w:val="20"/>
              </w:rPr>
              <w:t>IAU</w:t>
            </w:r>
            <w:r w:rsidR="00BD00CC">
              <w:rPr>
                <w:rFonts w:asciiTheme="minorHAnsi" w:hAnsiTheme="minorHAnsi"/>
                <w:b w:val="0"/>
                <w:sz w:val="20"/>
              </w:rPr>
              <w:t>)</w:t>
            </w:r>
            <w:r w:rsidRPr="00565132">
              <w:rPr>
                <w:rFonts w:asciiTheme="minorHAnsi" w:hAnsiTheme="minorHAnsi"/>
                <w:b w:val="0"/>
                <w:sz w:val="20"/>
              </w:rPr>
              <w:t xml:space="preserve"> are developing a strong research group around knowledge mobilisation, musculoskeletal health, multimorbidity and community engagement as part of their Race Equality Framework for Public Involvement in Research. The applicability of this research as well as expanding research participation to seldom heard and previously underserved populations will align with </w:t>
            </w:r>
            <w:r w:rsidR="00547F10">
              <w:rPr>
                <w:rFonts w:asciiTheme="minorHAnsi" w:hAnsiTheme="minorHAnsi"/>
                <w:b w:val="0"/>
                <w:sz w:val="20"/>
              </w:rPr>
              <w:t xml:space="preserve">Keele </w:t>
            </w:r>
            <w:r w:rsidRPr="00565132">
              <w:rPr>
                <w:rFonts w:asciiTheme="minorHAnsi" w:hAnsiTheme="minorHAnsi"/>
                <w:b w:val="0"/>
                <w:sz w:val="20"/>
              </w:rPr>
              <w:t xml:space="preserve">IAU </w:t>
            </w:r>
            <w:r w:rsidR="00BD00CC">
              <w:rPr>
                <w:rFonts w:asciiTheme="minorHAnsi" w:hAnsiTheme="minorHAnsi"/>
                <w:b w:val="0"/>
                <w:sz w:val="20"/>
              </w:rPr>
              <w:t>strategy</w:t>
            </w:r>
            <w:r w:rsidR="00547F10">
              <w:rPr>
                <w:rFonts w:asciiTheme="minorHAnsi" w:hAnsiTheme="minorHAnsi"/>
                <w:b w:val="0"/>
                <w:sz w:val="20"/>
              </w:rPr>
              <w:t xml:space="preserve">, Bristol Medical School research blue print and the </w:t>
            </w:r>
            <w:r w:rsidR="00BD00CC">
              <w:rPr>
                <w:rFonts w:asciiTheme="minorHAnsi" w:hAnsiTheme="minorHAnsi"/>
                <w:b w:val="0"/>
                <w:sz w:val="20"/>
              </w:rPr>
              <w:t>NHS long term plan</w:t>
            </w:r>
            <w:r w:rsidRPr="00565132">
              <w:rPr>
                <w:rFonts w:asciiTheme="minorHAnsi" w:hAnsiTheme="minorHAnsi"/>
                <w:b w:val="0"/>
                <w:sz w:val="20"/>
              </w:rPr>
              <w:t xml:space="preserve">. </w:t>
            </w:r>
          </w:p>
          <w:p w:rsidR="00BD00CC" w:rsidP="00BD00CC" w:rsidRDefault="00BD00CC" w14:paraId="19FF1701" w14:textId="77777777">
            <w:pPr>
              <w:pStyle w:val="ListParagraph"/>
              <w:ind w:left="0"/>
              <w:jc w:val="both"/>
              <w:rPr>
                <w:rFonts w:asciiTheme="minorHAnsi" w:hAnsiTheme="minorHAnsi"/>
                <w:bCs w:val="0"/>
                <w:sz w:val="20"/>
              </w:rPr>
            </w:pPr>
          </w:p>
          <w:p w:rsidRPr="00565132" w:rsidR="00787EF3" w:rsidP="00BD00CC" w:rsidRDefault="00565132" w14:paraId="220F35E2" w14:textId="3A55D860">
            <w:pPr>
              <w:pStyle w:val="ListParagraph"/>
              <w:ind w:left="0"/>
              <w:jc w:val="both"/>
              <w:rPr>
                <w:rFonts w:asciiTheme="minorHAnsi" w:hAnsiTheme="minorHAnsi"/>
                <w:b w:val="0"/>
                <w:sz w:val="20"/>
              </w:rPr>
            </w:pPr>
            <w:r w:rsidRPr="00565132">
              <w:rPr>
                <w:rFonts w:asciiTheme="minorHAnsi" w:hAnsiTheme="minorHAnsi"/>
                <w:b w:val="0"/>
                <w:sz w:val="20"/>
              </w:rPr>
              <w:t>We are working with the Keele Deal Health to link this work stream to social and commercial enterprise sectors, and we have links through the IAU</w:t>
            </w:r>
            <w:r w:rsidR="00BD00CC">
              <w:rPr>
                <w:rFonts w:asciiTheme="minorHAnsi" w:hAnsiTheme="minorHAnsi"/>
                <w:b w:val="0"/>
                <w:sz w:val="20"/>
              </w:rPr>
              <w:t>, SPCR Evidence synthesis working group and NIHR centre for engagement and dissemination</w:t>
            </w:r>
            <w:r w:rsidR="002812C3">
              <w:rPr>
                <w:rFonts w:asciiTheme="minorHAnsi" w:hAnsiTheme="minorHAnsi"/>
                <w:b w:val="0"/>
                <w:sz w:val="20"/>
              </w:rPr>
              <w:t xml:space="preserve"> – NIHR CED</w:t>
            </w:r>
            <w:r w:rsidR="00BD00CC">
              <w:rPr>
                <w:rFonts w:asciiTheme="minorHAnsi" w:hAnsiTheme="minorHAnsi"/>
                <w:b w:val="0"/>
                <w:sz w:val="20"/>
              </w:rPr>
              <w:t xml:space="preserve"> </w:t>
            </w:r>
            <w:r w:rsidRPr="00565132">
              <w:rPr>
                <w:rFonts w:asciiTheme="minorHAnsi" w:hAnsiTheme="minorHAnsi"/>
                <w:b w:val="0"/>
                <w:sz w:val="20"/>
              </w:rPr>
              <w:t xml:space="preserve">to enhance dissemination of this work to broader audience and relevant stakeholders. This will serve as a platform for further testing, scale-up and scale out of the resource outputs from this research.  The student will become trainee members of the UK Knowledge Mobilisation Alliance and the NIHR Incubator for Methodology: Awareness Raising Workstream for which the lead supervisor is currently involved. Offering a broader spectrum of training activities and networking opportunities </w:t>
            </w:r>
            <w:r w:rsidRPr="00BD00CC" w:rsidR="00BD00CC">
              <w:rPr>
                <w:rFonts w:asciiTheme="minorHAnsi" w:hAnsiTheme="minorHAnsi"/>
                <w:b w:val="0"/>
                <w:sz w:val="20"/>
              </w:rPr>
              <w:t>other PhD students, post-doctoral researchers, and senior academic staff from relevant and complementary research themes</w:t>
            </w:r>
            <w:r w:rsidR="00BD00CC">
              <w:rPr>
                <w:rFonts w:asciiTheme="minorHAnsi" w:hAnsiTheme="minorHAnsi"/>
                <w:b w:val="0"/>
                <w:sz w:val="20"/>
              </w:rPr>
              <w:t xml:space="preserve"> within the SPCR </w:t>
            </w:r>
            <w:r w:rsidRPr="00565132">
              <w:rPr>
                <w:rFonts w:asciiTheme="minorHAnsi" w:hAnsiTheme="minorHAnsi"/>
                <w:b w:val="0"/>
                <w:sz w:val="20"/>
              </w:rPr>
              <w:t>beyond Keele University as the host research organisation. This work will align with the NIHR Framework for Race Equality in public involvement in research.</w:t>
            </w:r>
          </w:p>
        </w:tc>
      </w:tr>
      <w:tr w:rsidRPr="00323521" w:rsidR="00E0356E" w:rsidTr="7200CB4E"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80F3B" w:rsidR="00E0356E" w:rsidP="00A42FF3" w:rsidRDefault="00E0356E" w14:paraId="7298EBB7" w14:textId="77777777">
            <w:pPr>
              <w:rPr>
                <w:rFonts w:asciiTheme="minorHAnsi" w:hAnsiTheme="minorHAnsi"/>
                <w:szCs w:val="24"/>
              </w:rPr>
            </w:pPr>
            <w:r w:rsidRPr="00980F3B">
              <w:rPr>
                <w:rFonts w:asciiTheme="minorHAnsi" w:hAnsiTheme="minorHAnsi"/>
                <w:color w:val="2E74B5" w:themeColor="accent1" w:themeShade="BF"/>
                <w:szCs w:val="24"/>
              </w:rPr>
              <w:t>Project description:</w:t>
            </w:r>
          </w:p>
        </w:tc>
      </w:tr>
      <w:tr w:rsidRPr="000C2AB2" w:rsidR="00E0356E" w:rsidTr="7200CB4E" w14:paraId="295FC3BC" w14:textId="77777777">
        <w:trPr>
          <w:trHeight w:val="557"/>
        </w:trPr>
        <w:tc>
          <w:tcPr>
            <w:cnfStyle w:val="001000000000" w:firstRow="0" w:lastRow="0" w:firstColumn="1" w:lastColumn="0" w:oddVBand="0" w:evenVBand="0" w:oddHBand="0" w:evenHBand="0" w:firstRowFirstColumn="0" w:firstRowLastColumn="0" w:lastRowFirstColumn="0" w:lastRowLastColumn="0"/>
            <w:tcW w:w="10343" w:type="dxa"/>
            <w:tcMar/>
          </w:tcPr>
          <w:p w:rsidR="00F32616" w:rsidP="00A42FF3" w:rsidRDefault="005A4F80" w14:paraId="0FF82105" w14:textId="13FC134C">
            <w:pPr>
              <w:widowControl w:val="0"/>
              <w:jc w:val="both"/>
              <w:rPr>
                <w:rFonts w:eastAsia="Calibri" w:asciiTheme="minorHAnsi" w:hAnsiTheme="minorHAnsi" w:cstheme="minorHAnsi"/>
                <w:sz w:val="20"/>
              </w:rPr>
            </w:pPr>
            <w:r>
              <w:rPr>
                <w:rFonts w:asciiTheme="minorHAnsi" w:hAnsiTheme="minorHAnsi" w:cstheme="minorHAnsi"/>
                <w:bCs w:val="0"/>
                <w:sz w:val="20"/>
              </w:rPr>
              <w:t>Background:</w:t>
            </w:r>
            <w:r w:rsidRPr="00F32616" w:rsidR="00941C0F">
              <w:rPr>
                <w:rFonts w:asciiTheme="minorHAnsi" w:hAnsiTheme="minorHAnsi" w:cstheme="minorHAnsi"/>
                <w:b w:val="0"/>
                <w:sz w:val="20"/>
              </w:rPr>
              <w:t xml:space="preserve"> In the UK, over three million people aged 65years and over live with joint pain along with other long-term conditions including depression, anxiety related problems</w:t>
            </w:r>
            <w:r w:rsidRPr="00F32616" w:rsidR="00450C7C">
              <w:rPr>
                <w:rFonts w:asciiTheme="minorHAnsi" w:hAnsiTheme="minorHAnsi" w:cstheme="minorHAnsi"/>
                <w:b w:val="0"/>
                <w:sz w:val="20"/>
              </w:rPr>
              <w:t>;</w:t>
            </w:r>
            <w:r w:rsidRPr="00F32616" w:rsidR="00450C7C">
              <w:rPr>
                <w:rFonts w:asciiTheme="minorHAnsi" w:hAnsiTheme="minorHAnsi" w:cstheme="minorHAnsi"/>
                <w:sz w:val="20"/>
              </w:rPr>
              <w:t xml:space="preserve"> </w:t>
            </w:r>
            <w:r w:rsidRPr="00F32616" w:rsidR="00450C7C">
              <w:rPr>
                <w:rFonts w:asciiTheme="minorHAnsi" w:hAnsiTheme="minorHAnsi" w:cstheme="minorHAnsi"/>
                <w:b w:val="0"/>
                <w:sz w:val="20"/>
              </w:rPr>
              <w:t>accounting for ~70% of overall NHS spending</w:t>
            </w:r>
            <w:r w:rsidRPr="00F32616" w:rsidR="00941C0F">
              <w:rPr>
                <w:rFonts w:asciiTheme="minorHAnsi" w:hAnsiTheme="minorHAnsi" w:cstheme="minorHAnsi"/>
                <w:b w:val="0"/>
                <w:sz w:val="20"/>
              </w:rPr>
              <w:t xml:space="preserve">. </w:t>
            </w:r>
            <w:r w:rsidRPr="00F32616" w:rsidR="00F47E0B">
              <w:rPr>
                <w:rFonts w:asciiTheme="minorHAnsi" w:hAnsiTheme="minorHAnsi" w:cstheme="minorHAnsi"/>
                <w:b w:val="0"/>
                <w:sz w:val="20"/>
              </w:rPr>
              <w:t xml:space="preserve">Self-management is essential and is a core recommendation for most older people with chronic long-term conditions. However, uptake varies and most programmes in primary care have resulted in modest outcomes. </w:t>
            </w:r>
            <w:r w:rsidR="00980F3B">
              <w:rPr>
                <w:rFonts w:asciiTheme="minorHAnsi" w:hAnsiTheme="minorHAnsi" w:cstheme="minorHAnsi"/>
                <w:b w:val="0"/>
                <w:sz w:val="20"/>
              </w:rPr>
              <w:t>A l</w:t>
            </w:r>
            <w:r w:rsidRPr="00F32616" w:rsidR="00941C0F">
              <w:rPr>
                <w:rFonts w:asciiTheme="minorHAnsi" w:hAnsiTheme="minorHAnsi" w:cstheme="minorHAnsi"/>
                <w:b w:val="0"/>
                <w:sz w:val="20"/>
              </w:rPr>
              <w:t xml:space="preserve">eap in information technology, social media and increasing pressure on healthcare systems due to the current pandemic has made health-information seeking (through various means) for self-management popular. </w:t>
            </w:r>
            <w:r w:rsidRPr="00F32616" w:rsidR="008460FD">
              <w:rPr>
                <w:rFonts w:eastAsia="Calibri" w:asciiTheme="minorHAnsi" w:hAnsiTheme="minorHAnsi" w:cstheme="minorHAnsi"/>
                <w:b w:val="0"/>
                <w:bCs w:val="0"/>
                <w:sz w:val="20"/>
              </w:rPr>
              <w:t>Older adult’s health behaviours are influenced by knowledge exchanged or disseminated in social interactions within the community.</w:t>
            </w:r>
            <w:r w:rsidRPr="00F32616" w:rsidR="008460FD">
              <w:rPr>
                <w:rFonts w:eastAsia="Times New Roman" w:asciiTheme="minorHAnsi" w:hAnsiTheme="minorHAnsi" w:cstheme="minorHAnsi"/>
                <w:b w:val="0"/>
                <w:bCs w:val="0"/>
                <w:sz w:val="20"/>
              </w:rPr>
              <w:t xml:space="preserve"> T</w:t>
            </w:r>
            <w:r w:rsidRPr="00F32616" w:rsidR="008460FD">
              <w:rPr>
                <w:rFonts w:eastAsia="Calibri" w:asciiTheme="minorHAnsi" w:hAnsiTheme="minorHAnsi" w:cstheme="minorHAnsi"/>
                <w:b w:val="0"/>
                <w:bCs w:val="0"/>
                <w:sz w:val="20"/>
              </w:rPr>
              <w:t xml:space="preserve">he ongoing pandemic has further heightened the pressure on individuals to self-manage, but without appropriate support. Within limited consultation time, the opportunity to discuss and correct unproven, low-quality, non-evidence-based health information and perceptions with each older adult is not feasible. </w:t>
            </w:r>
            <w:r w:rsidRPr="00F32616" w:rsidR="00F47E0B">
              <w:rPr>
                <w:rFonts w:eastAsia="Calibri" w:asciiTheme="minorHAnsi" w:hAnsiTheme="minorHAnsi" w:cstheme="minorHAnsi"/>
                <w:b w:val="0"/>
                <w:bCs w:val="0"/>
                <w:sz w:val="20"/>
              </w:rPr>
              <w:t xml:space="preserve">In addition, up to two-thirds of older adults who live with </w:t>
            </w:r>
            <w:r w:rsidR="00D143C8">
              <w:rPr>
                <w:rFonts w:eastAsia="Calibri" w:asciiTheme="minorHAnsi" w:hAnsiTheme="minorHAnsi" w:cstheme="minorHAnsi"/>
                <w:b w:val="0"/>
                <w:bCs w:val="0"/>
                <w:sz w:val="20"/>
              </w:rPr>
              <w:t>musculoskeletal and mental health (</w:t>
            </w:r>
            <w:r w:rsidRPr="00F32616" w:rsidR="00F47E0B">
              <w:rPr>
                <w:rFonts w:eastAsia="Calibri" w:asciiTheme="minorHAnsi" w:hAnsiTheme="minorHAnsi" w:cstheme="minorHAnsi"/>
                <w:b w:val="0"/>
                <w:bCs w:val="0"/>
                <w:sz w:val="20"/>
              </w:rPr>
              <w:t>MSK-MH</w:t>
            </w:r>
            <w:r w:rsidR="00D143C8">
              <w:rPr>
                <w:rFonts w:eastAsia="Calibri" w:asciiTheme="minorHAnsi" w:hAnsiTheme="minorHAnsi" w:cstheme="minorHAnsi"/>
                <w:b w:val="0"/>
                <w:bCs w:val="0"/>
                <w:sz w:val="20"/>
              </w:rPr>
              <w:t>)</w:t>
            </w:r>
            <w:r w:rsidRPr="00F32616" w:rsidR="00F47E0B">
              <w:rPr>
                <w:rFonts w:eastAsia="Calibri" w:asciiTheme="minorHAnsi" w:hAnsiTheme="minorHAnsi" w:cstheme="minorHAnsi"/>
                <w:b w:val="0"/>
                <w:bCs w:val="0"/>
                <w:sz w:val="20"/>
              </w:rPr>
              <w:t xml:space="preserve"> comorbidities live in deprived areas, with factors related to health equity (e.g., socio-economic disadvantage, lower education level, ethnic minority backgrounds) partly explaining why some people benefit less or at increased risk of harm from self-management practices based on non-evidence-based health information. I</w:t>
            </w:r>
            <w:r w:rsidRPr="00F32616" w:rsidR="008460FD">
              <w:rPr>
                <w:rFonts w:eastAsia="Calibri" w:asciiTheme="minorHAnsi" w:hAnsiTheme="minorHAnsi" w:cstheme="minorHAnsi"/>
                <w:b w:val="0"/>
                <w:bCs w:val="0"/>
                <w:sz w:val="20"/>
              </w:rPr>
              <w:t xml:space="preserve">ncreased health risks and complications arising from personal health decisions based on such low-quality information is costly to the NHS. </w:t>
            </w:r>
          </w:p>
          <w:p w:rsidR="00A42FF3" w:rsidP="00A42FF3" w:rsidRDefault="00A42FF3" w14:paraId="16E444BF" w14:textId="77777777">
            <w:pPr>
              <w:widowControl w:val="0"/>
              <w:jc w:val="both"/>
              <w:rPr>
                <w:rFonts w:eastAsia="Calibri" w:asciiTheme="minorHAnsi" w:hAnsiTheme="minorHAnsi" w:cstheme="minorHAnsi"/>
                <w:sz w:val="20"/>
              </w:rPr>
            </w:pPr>
          </w:p>
          <w:p w:rsidR="008460FD" w:rsidP="00A42FF3" w:rsidRDefault="00F32616" w14:paraId="73C0CBB3" w14:textId="4E2E116D">
            <w:pPr>
              <w:widowControl w:val="0"/>
              <w:jc w:val="both"/>
              <w:rPr>
                <w:rFonts w:eastAsia="Calibri" w:asciiTheme="minorHAnsi" w:hAnsiTheme="minorHAnsi" w:cstheme="minorHAnsi"/>
                <w:b w:val="0"/>
                <w:bCs w:val="0"/>
                <w:sz w:val="20"/>
              </w:rPr>
            </w:pPr>
            <w:r w:rsidRPr="00F32616">
              <w:rPr>
                <w:rFonts w:eastAsia="Calibri" w:asciiTheme="minorHAnsi" w:hAnsiTheme="minorHAnsi" w:cstheme="minorHAnsi"/>
                <w:b w:val="0"/>
                <w:bCs w:val="0"/>
                <w:sz w:val="20"/>
              </w:rPr>
              <w:t>There are unanswered questions about the impact of lots of different, often contradictory health information on self-management support for older adults shared with family and friends, and in community groups. Through there is a plethora of evidence-based guidelines and research evidence that may be used to support effective self-management of older adults with multiple long-term conditions (LTCs) including MSK pain</w:t>
            </w:r>
            <w:r>
              <w:rPr>
                <w:rFonts w:eastAsia="Calibri" w:asciiTheme="minorHAnsi" w:hAnsiTheme="minorHAnsi" w:cstheme="minorHAnsi"/>
                <w:b w:val="0"/>
                <w:bCs w:val="0"/>
                <w:sz w:val="20"/>
              </w:rPr>
              <w:t>; t</w:t>
            </w:r>
            <w:r w:rsidRPr="00F32616" w:rsidR="008460FD">
              <w:rPr>
                <w:rFonts w:eastAsia="Calibri" w:asciiTheme="minorHAnsi" w:hAnsiTheme="minorHAnsi" w:cstheme="minorHAnsi"/>
                <w:b w:val="0"/>
                <w:bCs w:val="0"/>
                <w:sz w:val="20"/>
              </w:rPr>
              <w:t xml:space="preserve">here is limited research on the mechanisms by which informal knowledge exchange takes place within community settings, and how these may be effectively used to complement provision in primary care. </w:t>
            </w:r>
            <w:r w:rsidRPr="008460FD" w:rsidR="008460FD">
              <w:rPr>
                <w:rFonts w:eastAsia="Calibri" w:asciiTheme="minorHAnsi" w:hAnsiTheme="minorHAnsi" w:cstheme="minorHAnsi"/>
                <w:b w:val="0"/>
                <w:bCs w:val="0"/>
                <w:sz w:val="20"/>
              </w:rPr>
              <w:t>The need to develop innovative ways of mobilising self-management knowledge among older adults with MSK-MH comorbidities, improve concordance with health management plans that is set in primary care is imperative.</w:t>
            </w:r>
            <w:r w:rsidRPr="008460FD" w:rsidR="008460FD">
              <w:rPr>
                <w:rFonts w:eastAsia="Calibri" w:asciiTheme="minorHAnsi" w:hAnsiTheme="minorHAnsi" w:cstheme="minorHAnsi"/>
                <w:sz w:val="20"/>
              </w:rPr>
              <w:t xml:space="preserve"> </w:t>
            </w:r>
          </w:p>
          <w:p w:rsidRPr="008460FD" w:rsidR="00A42FF3" w:rsidP="00A42FF3" w:rsidRDefault="00A42FF3" w14:paraId="585F6BB9" w14:textId="77777777">
            <w:pPr>
              <w:widowControl w:val="0"/>
              <w:jc w:val="both"/>
              <w:rPr>
                <w:rFonts w:eastAsia="Calibri" w:asciiTheme="minorHAnsi" w:hAnsiTheme="minorHAnsi" w:cstheme="minorHAnsi"/>
                <w:b w:val="0"/>
                <w:bCs w:val="0"/>
                <w:sz w:val="20"/>
              </w:rPr>
            </w:pPr>
          </w:p>
          <w:p w:rsidR="003B7A0B" w:rsidP="00A42FF3" w:rsidRDefault="003B7A0B" w14:paraId="23B54DF4" w14:textId="0AA3EA9B">
            <w:pPr>
              <w:pStyle w:val="BodyText"/>
              <w:spacing w:after="0"/>
              <w:jc w:val="both"/>
              <w:rPr>
                <w:rFonts w:asciiTheme="minorHAnsi" w:hAnsiTheme="minorHAnsi" w:cstheme="minorHAnsi"/>
                <w:bCs w:val="0"/>
                <w:sz w:val="20"/>
              </w:rPr>
            </w:pPr>
            <w:r>
              <w:rPr>
                <w:rFonts w:asciiTheme="minorHAnsi" w:hAnsiTheme="minorHAnsi" w:cstheme="minorHAnsi"/>
                <w:bCs w:val="0"/>
                <w:sz w:val="20"/>
              </w:rPr>
              <w:lastRenderedPageBreak/>
              <w:t>Aims:</w:t>
            </w:r>
            <w:r w:rsidRPr="00980F3B" w:rsidR="00941C0F">
              <w:rPr>
                <w:rFonts w:asciiTheme="minorHAnsi" w:hAnsiTheme="minorHAnsi" w:cstheme="minorHAnsi"/>
                <w:b w:val="0"/>
                <w:sz w:val="20"/>
              </w:rPr>
              <w:t xml:space="preserve"> This PhD</w:t>
            </w:r>
            <w:r w:rsidR="00B5282A">
              <w:rPr>
                <w:rFonts w:asciiTheme="minorHAnsi" w:hAnsiTheme="minorHAnsi" w:cstheme="minorHAnsi"/>
                <w:b w:val="0"/>
                <w:sz w:val="20"/>
              </w:rPr>
              <w:t xml:space="preserve"> </w:t>
            </w:r>
            <w:r w:rsidRPr="00980F3B" w:rsidR="00941C0F">
              <w:rPr>
                <w:rFonts w:asciiTheme="minorHAnsi" w:hAnsiTheme="minorHAnsi" w:cstheme="minorHAnsi"/>
                <w:b w:val="0"/>
                <w:sz w:val="20"/>
              </w:rPr>
              <w:t xml:space="preserve">will focus on how best to support older adults (65yrs and over) with long-term joint pain and mental health problems to use current best-evidence to self-manage and to enhance their wellbeing and quality of life. </w:t>
            </w:r>
            <w:r>
              <w:rPr>
                <w:rFonts w:asciiTheme="minorHAnsi" w:hAnsiTheme="minorHAnsi" w:cstheme="minorHAnsi"/>
                <w:b w:val="0"/>
                <w:sz w:val="20"/>
              </w:rPr>
              <w:t xml:space="preserve">The PhD </w:t>
            </w:r>
            <w:r w:rsidRPr="003B7A0B">
              <w:rPr>
                <w:rFonts w:asciiTheme="minorHAnsi" w:hAnsiTheme="minorHAnsi" w:cstheme="minorHAnsi"/>
                <w:b w:val="0"/>
                <w:sz w:val="20"/>
              </w:rPr>
              <w:t>aims to gain holistic understanding of how knowledge regarding self-management created, exchanged, adopted, and acted upon among older adults (60yrs and over) with comorbid MSK-MH problems in community settings; and based on this, develop innovative methods of mobilising evidence-informed knowledge to support self-management among these settings.</w:t>
            </w:r>
            <w:r>
              <w:t xml:space="preserve"> </w:t>
            </w:r>
            <w:r w:rsidRPr="003B7A0B">
              <w:rPr>
                <w:rFonts w:asciiTheme="minorHAnsi" w:hAnsiTheme="minorHAnsi" w:cstheme="minorHAnsi"/>
                <w:b w:val="0"/>
                <w:sz w:val="20"/>
              </w:rPr>
              <w:t>Patients and members of the public from community groups will form part of a stakeholder advisory group along with health and care professionals to guide the PhD.</w:t>
            </w:r>
          </w:p>
          <w:p w:rsidRPr="003B7A0B" w:rsidR="00A42FF3" w:rsidP="00A42FF3" w:rsidRDefault="00A42FF3" w14:paraId="4D6BF04F" w14:textId="77777777">
            <w:pPr>
              <w:pStyle w:val="BodyText"/>
              <w:spacing w:after="0"/>
              <w:jc w:val="both"/>
              <w:rPr>
                <w:rFonts w:asciiTheme="minorHAnsi" w:hAnsiTheme="minorHAnsi" w:cstheme="minorHAnsi"/>
                <w:bCs w:val="0"/>
                <w:sz w:val="20"/>
              </w:rPr>
            </w:pPr>
          </w:p>
          <w:p w:rsidR="005A4F80" w:rsidP="00A42FF3" w:rsidRDefault="005A4F80" w14:paraId="1F9751AF" w14:textId="594D22F7">
            <w:pPr>
              <w:jc w:val="both"/>
              <w:rPr>
                <w:rFonts w:asciiTheme="minorHAnsi" w:hAnsiTheme="minorHAnsi" w:cstheme="minorHAnsi"/>
                <w:bCs w:val="0"/>
                <w:sz w:val="20"/>
              </w:rPr>
            </w:pPr>
            <w:r>
              <w:rPr>
                <w:rFonts w:asciiTheme="minorHAnsi" w:hAnsiTheme="minorHAnsi" w:cstheme="minorHAnsi"/>
                <w:bCs w:val="0"/>
                <w:sz w:val="20"/>
              </w:rPr>
              <w:t>Methods:</w:t>
            </w:r>
            <w:r w:rsidRPr="00980F3B" w:rsidR="00941C0F">
              <w:rPr>
                <w:rFonts w:asciiTheme="minorHAnsi" w:hAnsiTheme="minorHAnsi" w:cstheme="minorHAnsi"/>
                <w:b w:val="0"/>
                <w:sz w:val="20"/>
              </w:rPr>
              <w:t xml:space="preserve"> The PhD is in three </w:t>
            </w:r>
            <w:r w:rsidR="00E76770">
              <w:rPr>
                <w:rFonts w:asciiTheme="minorHAnsi" w:hAnsiTheme="minorHAnsi" w:cstheme="minorHAnsi"/>
                <w:b w:val="0"/>
                <w:sz w:val="20"/>
              </w:rPr>
              <w:t>workpackages</w:t>
            </w:r>
            <w:r w:rsidRPr="00980F3B" w:rsidR="00941C0F">
              <w:rPr>
                <w:rFonts w:asciiTheme="minorHAnsi" w:hAnsiTheme="minorHAnsi" w:cstheme="minorHAnsi"/>
                <w:b w:val="0"/>
                <w:sz w:val="20"/>
              </w:rPr>
              <w:t xml:space="preserve">. </w:t>
            </w:r>
          </w:p>
          <w:p w:rsidR="00F169B0" w:rsidP="00A42FF3" w:rsidRDefault="00E76770" w14:paraId="5F5032AA" w14:textId="5BB0251D">
            <w:pPr>
              <w:jc w:val="both"/>
              <w:rPr>
                <w:rFonts w:asciiTheme="minorHAnsi" w:hAnsiTheme="minorHAnsi" w:cstheme="minorHAnsi"/>
                <w:bCs w:val="0"/>
                <w:sz w:val="20"/>
              </w:rPr>
            </w:pPr>
            <w:r>
              <w:rPr>
                <w:rFonts w:asciiTheme="minorHAnsi" w:hAnsiTheme="minorHAnsi" w:cstheme="minorHAnsi"/>
                <w:b w:val="0"/>
                <w:sz w:val="20"/>
              </w:rPr>
              <w:t xml:space="preserve">Workpackage 1: The student will host a </w:t>
            </w:r>
            <w:r w:rsidRPr="00980F3B" w:rsidR="00941C0F">
              <w:rPr>
                <w:rFonts w:asciiTheme="minorHAnsi" w:hAnsiTheme="minorHAnsi" w:cstheme="minorHAnsi"/>
                <w:b w:val="0"/>
                <w:sz w:val="20"/>
              </w:rPr>
              <w:t xml:space="preserve">stakeholder group </w:t>
            </w:r>
            <w:r>
              <w:rPr>
                <w:rFonts w:asciiTheme="minorHAnsi" w:hAnsiTheme="minorHAnsi" w:cstheme="minorHAnsi"/>
                <w:b w:val="0"/>
                <w:sz w:val="20"/>
              </w:rPr>
              <w:t>t</w:t>
            </w:r>
            <w:r w:rsidRPr="00980F3B" w:rsidR="00941C0F">
              <w:rPr>
                <w:rFonts w:asciiTheme="minorHAnsi" w:hAnsiTheme="minorHAnsi" w:cstheme="minorHAnsi"/>
                <w:b w:val="0"/>
                <w:sz w:val="20"/>
              </w:rPr>
              <w:t xml:space="preserve">o discuss </w:t>
            </w:r>
            <w:r w:rsidR="00F169B0">
              <w:rPr>
                <w:rFonts w:asciiTheme="minorHAnsi" w:hAnsiTheme="minorHAnsi" w:cstheme="minorHAnsi"/>
                <w:b w:val="0"/>
                <w:sz w:val="20"/>
              </w:rPr>
              <w:t xml:space="preserve">and prioritise </w:t>
            </w:r>
            <w:r w:rsidRPr="00980F3B" w:rsidR="00941C0F">
              <w:rPr>
                <w:rFonts w:asciiTheme="minorHAnsi" w:hAnsiTheme="minorHAnsi" w:cstheme="minorHAnsi"/>
                <w:b w:val="0"/>
                <w:sz w:val="20"/>
              </w:rPr>
              <w:t xml:space="preserve">important aspects such as </w:t>
            </w:r>
            <w:r w:rsidR="004041E7">
              <w:rPr>
                <w:rFonts w:asciiTheme="minorHAnsi" w:hAnsiTheme="minorHAnsi" w:cstheme="minorHAnsi"/>
                <w:b w:val="0"/>
                <w:sz w:val="20"/>
              </w:rPr>
              <w:t xml:space="preserve">i) </w:t>
            </w:r>
            <w:r w:rsidRPr="004041E7" w:rsidR="004041E7">
              <w:rPr>
                <w:rFonts w:asciiTheme="minorHAnsi" w:hAnsiTheme="minorHAnsi" w:cstheme="minorHAnsi"/>
                <w:b w:val="0"/>
                <w:sz w:val="20"/>
              </w:rPr>
              <w:t>specific social networks, community, and care settings to be researched</w:t>
            </w:r>
            <w:r w:rsidR="004041E7">
              <w:rPr>
                <w:rFonts w:asciiTheme="minorHAnsi" w:hAnsiTheme="minorHAnsi" w:cstheme="minorHAnsi"/>
                <w:b w:val="0"/>
                <w:sz w:val="20"/>
              </w:rPr>
              <w:t xml:space="preserve">, ii) </w:t>
            </w:r>
            <w:r w:rsidRPr="00F169B0" w:rsidR="00F169B0">
              <w:rPr>
                <w:rFonts w:asciiTheme="minorHAnsi" w:hAnsiTheme="minorHAnsi" w:cstheme="minorHAnsi"/>
                <w:b w:val="0"/>
                <w:sz w:val="20"/>
              </w:rPr>
              <w:t>exemplar MSK and mental health condition comorbidity cluster to be prioritised for the study</w:t>
            </w:r>
            <w:r w:rsidR="004041E7">
              <w:rPr>
                <w:rFonts w:asciiTheme="minorHAnsi" w:hAnsiTheme="minorHAnsi" w:cstheme="minorHAnsi"/>
                <w:b w:val="0"/>
                <w:sz w:val="20"/>
              </w:rPr>
              <w:t>, i</w:t>
            </w:r>
            <w:r w:rsidRPr="00F169B0" w:rsidR="00F169B0">
              <w:rPr>
                <w:rFonts w:asciiTheme="minorHAnsi" w:hAnsiTheme="minorHAnsi" w:cstheme="minorHAnsi"/>
                <w:b w:val="0"/>
                <w:sz w:val="20"/>
              </w:rPr>
              <w:t>ii</w:t>
            </w:r>
            <w:r w:rsidR="004041E7">
              <w:rPr>
                <w:rFonts w:asciiTheme="minorHAnsi" w:hAnsiTheme="minorHAnsi" w:cstheme="minorHAnsi"/>
                <w:b w:val="0"/>
                <w:sz w:val="20"/>
              </w:rPr>
              <w:t xml:space="preserve">) </w:t>
            </w:r>
            <w:r w:rsidRPr="00F169B0" w:rsidR="00F169B0">
              <w:rPr>
                <w:rFonts w:asciiTheme="minorHAnsi" w:hAnsiTheme="minorHAnsi" w:cstheme="minorHAnsi"/>
                <w:b w:val="0"/>
                <w:sz w:val="20"/>
              </w:rPr>
              <w:t>particular older adults’ characteristics (e.g., seldom heard</w:t>
            </w:r>
            <w:r w:rsidR="004041E7">
              <w:rPr>
                <w:rFonts w:asciiTheme="minorHAnsi" w:hAnsiTheme="minorHAnsi" w:cstheme="minorHAnsi"/>
                <w:b w:val="0"/>
                <w:sz w:val="20"/>
              </w:rPr>
              <w:t xml:space="preserve"> voices</w:t>
            </w:r>
            <w:r w:rsidRPr="00F169B0" w:rsidR="00F169B0">
              <w:rPr>
                <w:rFonts w:asciiTheme="minorHAnsi" w:hAnsiTheme="minorHAnsi" w:cstheme="minorHAnsi"/>
                <w:b w:val="0"/>
                <w:sz w:val="20"/>
              </w:rPr>
              <w:t xml:space="preserve">, and underserved communities including ethnic minorities, faith communities, those with low health literacy and socio-economic backgrounds who are currently underrepresented in research activities). </w:t>
            </w:r>
            <w:r w:rsidR="004041E7">
              <w:rPr>
                <w:rFonts w:asciiTheme="minorHAnsi" w:hAnsiTheme="minorHAnsi" w:cstheme="minorHAnsi"/>
                <w:b w:val="0"/>
                <w:sz w:val="20"/>
              </w:rPr>
              <w:t xml:space="preserve"> </w:t>
            </w:r>
            <w:r w:rsidRPr="00F169B0" w:rsidR="00F169B0">
              <w:rPr>
                <w:rFonts w:asciiTheme="minorHAnsi" w:hAnsiTheme="minorHAnsi" w:cstheme="minorHAnsi"/>
                <w:b w:val="0"/>
                <w:sz w:val="20"/>
              </w:rPr>
              <w:t>Key stakeholder involvement in this workpackage will also help to refine the focus of the PhD in line with national priorities (NHS long term plan), expertise withi</w:t>
            </w:r>
            <w:r w:rsidR="004041E7">
              <w:rPr>
                <w:rFonts w:asciiTheme="minorHAnsi" w:hAnsiTheme="minorHAnsi" w:cstheme="minorHAnsi"/>
                <w:b w:val="0"/>
                <w:sz w:val="20"/>
              </w:rPr>
              <w:t>n the faculty</w:t>
            </w:r>
            <w:r w:rsidRPr="00F169B0" w:rsidR="00F169B0">
              <w:rPr>
                <w:rFonts w:asciiTheme="minorHAnsi" w:hAnsiTheme="minorHAnsi" w:cstheme="minorHAnsi"/>
                <w:b w:val="0"/>
                <w:sz w:val="20"/>
              </w:rPr>
              <w:t xml:space="preserve"> and current research evidence on MSK pain multimorbidity clusters e.g., self-management of osteoarthritis with anxiety and depression.</w:t>
            </w:r>
          </w:p>
          <w:p w:rsidR="00F169B0" w:rsidP="00A42FF3" w:rsidRDefault="00F169B0" w14:paraId="059B657D" w14:textId="77777777">
            <w:pPr>
              <w:jc w:val="both"/>
              <w:rPr>
                <w:rFonts w:asciiTheme="minorHAnsi" w:hAnsiTheme="minorHAnsi" w:cstheme="minorHAnsi"/>
                <w:bCs w:val="0"/>
                <w:sz w:val="20"/>
              </w:rPr>
            </w:pPr>
          </w:p>
          <w:p w:rsidR="00F169B0" w:rsidP="00A42FF3" w:rsidRDefault="00E76770" w14:paraId="056AB868" w14:textId="0E7599E6">
            <w:pPr>
              <w:jc w:val="both"/>
              <w:rPr>
                <w:rFonts w:asciiTheme="minorHAnsi" w:hAnsiTheme="minorHAnsi" w:cstheme="minorHAnsi"/>
                <w:bCs w:val="0"/>
                <w:sz w:val="20"/>
              </w:rPr>
            </w:pPr>
            <w:r w:rsidRPr="00E76770">
              <w:rPr>
                <w:rFonts w:asciiTheme="minorHAnsi" w:hAnsiTheme="minorHAnsi" w:cstheme="minorHAnsi"/>
                <w:b w:val="0"/>
                <w:sz w:val="20"/>
              </w:rPr>
              <w:t xml:space="preserve">Workpackage </w:t>
            </w:r>
            <w:r>
              <w:rPr>
                <w:rFonts w:asciiTheme="minorHAnsi" w:hAnsiTheme="minorHAnsi" w:cstheme="minorHAnsi"/>
                <w:b w:val="0"/>
                <w:sz w:val="20"/>
              </w:rPr>
              <w:t xml:space="preserve">2: </w:t>
            </w:r>
            <w:r w:rsidRPr="00980F3B" w:rsidR="00941C0F">
              <w:rPr>
                <w:rFonts w:asciiTheme="minorHAnsi" w:hAnsiTheme="minorHAnsi" w:cstheme="minorHAnsi"/>
                <w:b w:val="0"/>
                <w:sz w:val="20"/>
              </w:rPr>
              <w:t xml:space="preserve">The student will then undertake research (an ethnography inquiry) to: (i) understand what influences how older people self-manage in communities, (ii) understand the community’s knowledge and experiences of health information and (iii) how knowledge is shared in community settings. </w:t>
            </w:r>
            <w:r w:rsidR="004041E7">
              <w:rPr>
                <w:rFonts w:asciiTheme="minorHAnsi" w:hAnsiTheme="minorHAnsi" w:cstheme="minorHAnsi"/>
                <w:b w:val="0"/>
                <w:sz w:val="20"/>
              </w:rPr>
              <w:t xml:space="preserve">Whilst </w:t>
            </w:r>
            <w:r w:rsidRPr="004041E7" w:rsidR="004041E7">
              <w:rPr>
                <w:rFonts w:asciiTheme="minorHAnsi" w:hAnsiTheme="minorHAnsi" w:cstheme="minorHAnsi"/>
                <w:b w:val="0"/>
                <w:sz w:val="20"/>
              </w:rPr>
              <w:t xml:space="preserve">immersed in the social culture </w:t>
            </w:r>
            <w:r w:rsidR="004041E7">
              <w:rPr>
                <w:rFonts w:asciiTheme="minorHAnsi" w:hAnsiTheme="minorHAnsi" w:cstheme="minorHAnsi"/>
                <w:b w:val="0"/>
                <w:sz w:val="20"/>
              </w:rPr>
              <w:t xml:space="preserve">of </w:t>
            </w:r>
            <w:r w:rsidRPr="004041E7" w:rsidR="004041E7">
              <w:rPr>
                <w:rFonts w:asciiTheme="minorHAnsi" w:hAnsiTheme="minorHAnsi" w:cstheme="minorHAnsi"/>
                <w:b w:val="0"/>
                <w:sz w:val="20"/>
              </w:rPr>
              <w:t>community support groups and physical and online social networks,</w:t>
            </w:r>
            <w:r w:rsidR="004041E7">
              <w:rPr>
                <w:rFonts w:asciiTheme="minorHAnsi" w:hAnsiTheme="minorHAnsi" w:cstheme="minorHAnsi"/>
                <w:b w:val="0"/>
                <w:sz w:val="20"/>
              </w:rPr>
              <w:t xml:space="preserve"> the student will </w:t>
            </w:r>
            <w:r w:rsidRPr="004041E7" w:rsidR="004041E7">
              <w:rPr>
                <w:rFonts w:asciiTheme="minorHAnsi" w:hAnsiTheme="minorHAnsi" w:cstheme="minorHAnsi"/>
                <w:b w:val="0"/>
                <w:sz w:val="20"/>
              </w:rPr>
              <w:t>concurrently collect data using ethnographic methods including participant observation of support group activities and dynamics, informal conversations with and among older-adults, field notes and semi-structured interviews. Additional ethnographic methods such as focus groups, and documentary analysis will be used to allow deep and nuanced understanding of how health information sharing, knowledge creation, exchange, and adoption influence self-management behaviours of older adults. This approach will allow the researcher (PhD student) to observe day-to-day reality of self-management among older adults and is robust enough to ensure that factors contributing to self-management behaviours and practices among individuals and within community specific contexts can be clearly identified.</w:t>
            </w:r>
          </w:p>
          <w:p w:rsidR="00E76770" w:rsidP="00A42FF3" w:rsidRDefault="00E76770" w14:paraId="4F443FEC" w14:textId="77777777">
            <w:pPr>
              <w:jc w:val="both"/>
              <w:rPr>
                <w:rFonts w:asciiTheme="minorHAnsi" w:hAnsiTheme="minorHAnsi" w:cstheme="minorHAnsi"/>
                <w:b w:val="0"/>
                <w:bCs w:val="0"/>
                <w:sz w:val="20"/>
              </w:rPr>
            </w:pPr>
          </w:p>
          <w:p w:rsidR="00E76770" w:rsidP="00A42FF3" w:rsidRDefault="00E76770" w14:paraId="04BC573B" w14:textId="55860F30">
            <w:pPr>
              <w:jc w:val="both"/>
              <w:rPr>
                <w:rFonts w:asciiTheme="minorHAnsi" w:hAnsiTheme="minorHAnsi" w:cstheme="minorHAnsi"/>
                <w:sz w:val="20"/>
              </w:rPr>
            </w:pPr>
            <w:r w:rsidRPr="00E76770">
              <w:rPr>
                <w:rFonts w:asciiTheme="minorHAnsi" w:hAnsiTheme="minorHAnsi" w:cstheme="minorHAnsi"/>
                <w:b w:val="0"/>
                <w:bCs w:val="0"/>
                <w:sz w:val="20"/>
              </w:rPr>
              <w:t>Workpackage 3:</w:t>
            </w:r>
            <w:r>
              <w:rPr>
                <w:rFonts w:asciiTheme="minorHAnsi" w:hAnsiTheme="minorHAnsi" w:cstheme="minorHAnsi"/>
                <w:sz w:val="20"/>
              </w:rPr>
              <w:t xml:space="preserve"> </w:t>
            </w:r>
            <w:r w:rsidRPr="00E76770">
              <w:rPr>
                <w:rFonts w:asciiTheme="minorHAnsi" w:hAnsiTheme="minorHAnsi" w:cstheme="minorHAnsi"/>
                <w:b w:val="0"/>
                <w:bCs w:val="0"/>
                <w:sz w:val="20"/>
              </w:rPr>
              <w:t>Using established principles of co-creation, and findings from workpackage 2, the student will co-create with stakeholders an innovative resource package to facilitate evidence-based self-management knowledge sharing and use among older adults</w:t>
            </w:r>
            <w:r>
              <w:rPr>
                <w:rFonts w:asciiTheme="minorHAnsi" w:hAnsiTheme="minorHAnsi" w:cstheme="minorHAnsi"/>
                <w:b w:val="0"/>
                <w:bCs w:val="0"/>
                <w:sz w:val="20"/>
              </w:rPr>
              <w:t xml:space="preserve">. That is </w:t>
            </w:r>
            <w:r w:rsidRPr="00E76770">
              <w:rPr>
                <w:rFonts w:asciiTheme="minorHAnsi" w:hAnsiTheme="minorHAnsi" w:cstheme="minorHAnsi"/>
                <w:b w:val="0"/>
                <w:bCs w:val="0"/>
                <w:sz w:val="20"/>
              </w:rPr>
              <w:t>the right information at the right time and in the right format, so that they can make informed decisions and take appropriate community actions to support self-management of health conditions.</w:t>
            </w:r>
          </w:p>
          <w:p w:rsidRPr="00E76770" w:rsidR="00274ACB" w:rsidP="00A42FF3" w:rsidRDefault="00E76770" w14:paraId="4E8397B4" w14:textId="3B677AB1">
            <w:pPr>
              <w:jc w:val="both"/>
              <w:rPr>
                <w:rFonts w:asciiTheme="minorHAnsi" w:hAnsiTheme="minorHAnsi" w:cstheme="minorHAnsi"/>
                <w:sz w:val="20"/>
              </w:rPr>
            </w:pPr>
            <w:r w:rsidRPr="00E76770">
              <w:rPr>
                <w:rFonts w:asciiTheme="minorHAnsi" w:hAnsiTheme="minorHAnsi" w:cstheme="minorHAnsi"/>
                <w:b w:val="0"/>
                <w:bCs w:val="0"/>
                <w:sz w:val="20"/>
              </w:rPr>
              <w:t>The exact nature of the resource package to be developed cannot be specified a priori but it is anticipated to include i) a set of strategies for mobilising knowledge among community dwelling older adults and, ii) visual evidence-based information for self-management (from synthesised evidence including guidelines, and NIHR themed reviews). Previous experience in development of succinct evidence summaries with visual appeal may be drawn upon as a springboard for co-creation of the resource package.</w:t>
            </w:r>
          </w:p>
        </w:tc>
      </w:tr>
    </w:tbl>
    <w:p w:rsidRPr="0079516D" w:rsidR="00FF6AEA" w:rsidP="00A42FF3" w:rsidRDefault="00FF6AEA" w14:paraId="59F5079B" w14:textId="77777777">
      <w:pPr>
        <w:spacing w:after="0" w:line="240" w:lineRule="auto"/>
        <w:rPr>
          <w:rFonts w:asciiTheme="minorHAnsi" w:hAnsiTheme="minorHAnsi" w:cstheme="minorHAnsi"/>
          <w:szCs w:val="24"/>
        </w:rPr>
      </w:pPr>
    </w:p>
    <w:tbl>
      <w:tblPr>
        <w:tblStyle w:val="GridTable1Light-Accent11"/>
        <w:tblW w:w="0" w:type="auto"/>
        <w:tblLook w:val="04A0" w:firstRow="1" w:lastRow="0" w:firstColumn="1" w:lastColumn="0" w:noHBand="0" w:noVBand="1"/>
      </w:tblPr>
      <w:tblGrid>
        <w:gridCol w:w="10343"/>
      </w:tblGrid>
      <w:tr w:rsidRPr="0079516D"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79516D" w:rsidR="00E0356E" w:rsidP="00A42FF3" w:rsidRDefault="00E0356E" w14:paraId="59E4D9FD" w14:textId="35CEF0FA">
            <w:pPr>
              <w:rPr>
                <w:rFonts w:asciiTheme="minorHAnsi" w:hAnsiTheme="minorHAnsi" w:cstheme="minorHAnsi"/>
                <w:szCs w:val="24"/>
              </w:rPr>
            </w:pPr>
            <w:r w:rsidRPr="0079516D">
              <w:rPr>
                <w:rFonts w:asciiTheme="minorHAnsi" w:hAnsiTheme="minorHAnsi" w:cstheme="minorHAnsi"/>
                <w:color w:val="2E74B5" w:themeColor="accent1" w:themeShade="BF"/>
                <w:szCs w:val="24"/>
              </w:rPr>
              <w:t xml:space="preserve">Training </w:t>
            </w:r>
            <w:r w:rsidRPr="0079516D" w:rsidR="002F31FE">
              <w:rPr>
                <w:rFonts w:asciiTheme="minorHAnsi" w:hAnsiTheme="minorHAnsi" w:cstheme="minorHAnsi"/>
                <w:color w:val="2E74B5" w:themeColor="accent1" w:themeShade="BF"/>
                <w:szCs w:val="24"/>
              </w:rPr>
              <w:t>and development provision by host</w:t>
            </w:r>
            <w:r w:rsidRPr="0079516D">
              <w:rPr>
                <w:rFonts w:asciiTheme="minorHAnsi" w:hAnsiTheme="minorHAnsi" w:cstheme="minorHAnsi"/>
                <w:color w:val="2E74B5" w:themeColor="accent1" w:themeShade="BF"/>
                <w:szCs w:val="24"/>
              </w:rPr>
              <w:t>:</w:t>
            </w:r>
          </w:p>
        </w:tc>
      </w:tr>
      <w:tr w:rsidRPr="00885DCC" w:rsidR="00E0356E" w:rsidTr="00885DCC" w14:paraId="48269DFA" w14:textId="77777777">
        <w:trPr>
          <w:trHeight w:val="821"/>
        </w:trPr>
        <w:tc>
          <w:tcPr>
            <w:cnfStyle w:val="001000000000" w:firstRow="0" w:lastRow="0" w:firstColumn="1" w:lastColumn="0" w:oddVBand="0" w:evenVBand="0" w:oddHBand="0" w:evenHBand="0" w:firstRowFirstColumn="0" w:firstRowLastColumn="0" w:lastRowFirstColumn="0" w:lastRowLastColumn="0"/>
            <w:tcW w:w="10343" w:type="dxa"/>
          </w:tcPr>
          <w:p w:rsidRPr="00E76770" w:rsidR="00274ACB" w:rsidP="00A42FF3" w:rsidRDefault="002B0282" w14:paraId="5BB16FE4" w14:textId="7A2D5C0C">
            <w:pPr>
              <w:pStyle w:val="BodyText2"/>
              <w:tabs>
                <w:tab w:val="clear" w:pos="720"/>
              </w:tabs>
              <w:jc w:val="both"/>
              <w:rPr>
                <w:rFonts w:asciiTheme="minorHAnsi" w:hAnsiTheme="minorHAnsi" w:cstheme="minorHAnsi"/>
                <w:i/>
                <w:sz w:val="20"/>
              </w:rPr>
            </w:pPr>
            <w:r w:rsidRPr="00E76770">
              <w:rPr>
                <w:rFonts w:asciiTheme="minorHAnsi" w:hAnsiTheme="minorHAnsi" w:cstheme="minorHAnsi"/>
                <w:i/>
                <w:sz w:val="20"/>
              </w:rPr>
              <w:t>Formal training:</w:t>
            </w:r>
          </w:p>
          <w:p w:rsidRPr="00E76770" w:rsidR="0083630C" w:rsidP="00A42FF3" w:rsidRDefault="0083630C" w14:paraId="016DC895" w14:textId="203A4A73">
            <w:pPr>
              <w:pStyle w:val="BodyText2"/>
              <w:jc w:val="both"/>
              <w:rPr>
                <w:rFonts w:asciiTheme="minorHAnsi" w:hAnsiTheme="minorHAnsi" w:cstheme="minorHAnsi"/>
                <w:b/>
                <w:bCs w:val="0"/>
                <w:sz w:val="20"/>
              </w:rPr>
            </w:pPr>
            <w:r w:rsidRPr="00E76770">
              <w:rPr>
                <w:rFonts w:asciiTheme="minorHAnsi" w:hAnsiTheme="minorHAnsi" w:cstheme="minorHAnsi"/>
                <w:sz w:val="20"/>
              </w:rPr>
              <w:t>The PhD student’s training needs informed by the Vitae Researcher Development Framework will be dependent on the professional discipline, qualifications and previous research and methodological experience. A provisional outline is described below:</w:t>
            </w:r>
          </w:p>
          <w:p w:rsidRPr="00E76770" w:rsidR="00983DC2" w:rsidP="00A42FF3" w:rsidRDefault="00983DC2" w14:paraId="7746E182" w14:textId="56B7BC38">
            <w:pPr>
              <w:pStyle w:val="BodyText2"/>
              <w:jc w:val="both"/>
              <w:rPr>
                <w:rFonts w:asciiTheme="minorHAnsi" w:hAnsiTheme="minorHAnsi" w:cstheme="minorHAnsi"/>
                <w:b/>
                <w:bCs w:val="0"/>
                <w:sz w:val="20"/>
              </w:rPr>
            </w:pPr>
            <w:r w:rsidRPr="00E76770">
              <w:rPr>
                <w:rFonts w:asciiTheme="minorHAnsi" w:hAnsiTheme="minorHAnsi" w:cstheme="minorHAnsi"/>
                <w:b/>
                <w:bCs w:val="0"/>
                <w:sz w:val="20"/>
              </w:rPr>
              <w:t xml:space="preserve">Research </w:t>
            </w:r>
            <w:r w:rsidRPr="00E76770" w:rsidR="003D3743">
              <w:rPr>
                <w:rFonts w:asciiTheme="minorHAnsi" w:hAnsiTheme="minorHAnsi" w:cstheme="minorHAnsi"/>
                <w:b/>
                <w:bCs w:val="0"/>
                <w:sz w:val="20"/>
              </w:rPr>
              <w:t>m</w:t>
            </w:r>
            <w:r w:rsidRPr="00E76770">
              <w:rPr>
                <w:rFonts w:asciiTheme="minorHAnsi" w:hAnsiTheme="minorHAnsi" w:cstheme="minorHAnsi"/>
                <w:b/>
                <w:bCs w:val="0"/>
                <w:sz w:val="20"/>
              </w:rPr>
              <w:t xml:space="preserve">ethods and </w:t>
            </w:r>
            <w:r w:rsidRPr="00E76770" w:rsidR="003D3743">
              <w:rPr>
                <w:rFonts w:asciiTheme="minorHAnsi" w:hAnsiTheme="minorHAnsi" w:cstheme="minorHAnsi"/>
                <w:b/>
                <w:bCs w:val="0"/>
                <w:sz w:val="20"/>
              </w:rPr>
              <w:t>s</w:t>
            </w:r>
            <w:r w:rsidRPr="00E76770">
              <w:rPr>
                <w:rFonts w:asciiTheme="minorHAnsi" w:hAnsiTheme="minorHAnsi" w:cstheme="minorHAnsi"/>
                <w:b/>
                <w:bCs w:val="0"/>
                <w:sz w:val="20"/>
              </w:rPr>
              <w:t>ubject specific workshops (Keele):</w:t>
            </w:r>
          </w:p>
          <w:p w:rsidRPr="00E76770" w:rsidR="003D3743" w:rsidP="00A42FF3" w:rsidRDefault="00983DC2" w14:paraId="48BDBE62" w14:textId="3D1112CA">
            <w:pPr>
              <w:pStyle w:val="BodyText2"/>
              <w:numPr>
                <w:ilvl w:val="0"/>
                <w:numId w:val="6"/>
              </w:numPr>
              <w:ind w:left="227" w:hanging="227"/>
              <w:jc w:val="both"/>
              <w:rPr>
                <w:rFonts w:asciiTheme="minorHAnsi" w:hAnsiTheme="minorHAnsi" w:cstheme="minorHAnsi"/>
                <w:sz w:val="20"/>
              </w:rPr>
            </w:pPr>
            <w:r w:rsidRPr="00E76770">
              <w:rPr>
                <w:rFonts w:asciiTheme="minorHAnsi" w:hAnsiTheme="minorHAnsi" w:cstheme="minorHAnsi"/>
                <w:sz w:val="20"/>
              </w:rPr>
              <w:t>Specific coaching in ethnographic methods</w:t>
            </w:r>
            <w:r w:rsidRPr="00E76770" w:rsidR="005A4F80">
              <w:rPr>
                <w:rFonts w:asciiTheme="minorHAnsi" w:hAnsiTheme="minorHAnsi" w:cstheme="minorHAnsi"/>
                <w:sz w:val="20"/>
              </w:rPr>
              <w:t xml:space="preserve">, ii) </w:t>
            </w:r>
            <w:r w:rsidRPr="00E76770">
              <w:rPr>
                <w:rFonts w:asciiTheme="minorHAnsi" w:hAnsiTheme="minorHAnsi" w:cstheme="minorHAnsi"/>
                <w:sz w:val="20"/>
              </w:rPr>
              <w:t>Research Methods in Health</w:t>
            </w:r>
            <w:r w:rsidRPr="00E76770" w:rsidR="005A4F80">
              <w:rPr>
                <w:rFonts w:asciiTheme="minorHAnsi" w:hAnsiTheme="minorHAnsi" w:cstheme="minorHAnsi"/>
                <w:sz w:val="20"/>
              </w:rPr>
              <w:t xml:space="preserve">, iii) </w:t>
            </w:r>
            <w:r w:rsidRPr="00E76770" w:rsidR="003D3743">
              <w:rPr>
                <w:rFonts w:asciiTheme="minorHAnsi" w:hAnsiTheme="minorHAnsi" w:cstheme="minorHAnsi"/>
                <w:sz w:val="20"/>
              </w:rPr>
              <w:t>Evidence Synthesis</w:t>
            </w:r>
            <w:r w:rsidRPr="00E76770" w:rsidR="005A4F80">
              <w:rPr>
                <w:rFonts w:asciiTheme="minorHAnsi" w:hAnsiTheme="minorHAnsi" w:cstheme="minorHAnsi"/>
                <w:sz w:val="20"/>
              </w:rPr>
              <w:t>, iv)</w:t>
            </w:r>
            <w:r w:rsidRPr="00E76770" w:rsidR="00F169B0">
              <w:rPr>
                <w:rFonts w:asciiTheme="minorHAnsi" w:hAnsiTheme="minorHAnsi" w:cstheme="minorHAnsi"/>
                <w:sz w:val="20"/>
              </w:rPr>
              <w:t xml:space="preserve"> </w:t>
            </w:r>
            <w:r w:rsidRPr="00E76770" w:rsidR="003D3743">
              <w:rPr>
                <w:rFonts w:asciiTheme="minorHAnsi" w:hAnsiTheme="minorHAnsi" w:cstheme="minorHAnsi"/>
                <w:sz w:val="20"/>
              </w:rPr>
              <w:t>PPI / Equality and diversity training</w:t>
            </w:r>
            <w:r w:rsidRPr="00E76770" w:rsidR="00F169B0">
              <w:rPr>
                <w:rFonts w:asciiTheme="minorHAnsi" w:hAnsiTheme="minorHAnsi" w:cstheme="minorHAnsi"/>
                <w:sz w:val="20"/>
              </w:rPr>
              <w:t xml:space="preserve">, v) </w:t>
            </w:r>
            <w:r w:rsidRPr="00E76770" w:rsidR="003D3743">
              <w:rPr>
                <w:rFonts w:asciiTheme="minorHAnsi" w:hAnsiTheme="minorHAnsi" w:cstheme="minorHAnsi"/>
                <w:sz w:val="20"/>
              </w:rPr>
              <w:t>Interviewing and Qualitative analysis</w:t>
            </w:r>
            <w:r w:rsidRPr="00E76770" w:rsidR="00F169B0">
              <w:rPr>
                <w:rFonts w:asciiTheme="minorHAnsi" w:hAnsiTheme="minorHAnsi" w:cstheme="minorHAnsi"/>
                <w:sz w:val="20"/>
              </w:rPr>
              <w:t xml:space="preserve">, vi) </w:t>
            </w:r>
            <w:r w:rsidRPr="00E76770" w:rsidR="003D3743">
              <w:rPr>
                <w:rFonts w:asciiTheme="minorHAnsi" w:hAnsiTheme="minorHAnsi" w:cstheme="minorHAnsi"/>
                <w:sz w:val="20"/>
              </w:rPr>
              <w:t>Stakeholder Consensus and co-production training</w:t>
            </w:r>
            <w:r w:rsidRPr="00E76770" w:rsidR="00F169B0">
              <w:rPr>
                <w:rFonts w:asciiTheme="minorHAnsi" w:hAnsiTheme="minorHAnsi" w:cstheme="minorHAnsi"/>
                <w:sz w:val="20"/>
              </w:rPr>
              <w:t xml:space="preserve">, vii) </w:t>
            </w:r>
            <w:r w:rsidRPr="00E76770" w:rsidR="003D3743">
              <w:rPr>
                <w:rFonts w:asciiTheme="minorHAnsi" w:hAnsiTheme="minorHAnsi" w:cstheme="minorHAnsi"/>
                <w:sz w:val="20"/>
              </w:rPr>
              <w:t>Project management</w:t>
            </w:r>
            <w:r w:rsidRPr="00E76770" w:rsidR="00F169B0">
              <w:rPr>
                <w:rFonts w:asciiTheme="minorHAnsi" w:hAnsiTheme="minorHAnsi" w:cstheme="minorHAnsi"/>
                <w:sz w:val="20"/>
              </w:rPr>
              <w:t>.</w:t>
            </w:r>
          </w:p>
          <w:p w:rsidRPr="00E76770" w:rsidR="00983DC2" w:rsidP="00A42FF3" w:rsidRDefault="00983DC2" w14:paraId="0754ACA5" w14:textId="77777777">
            <w:pPr>
              <w:pStyle w:val="BodyText2"/>
              <w:ind w:left="227" w:hanging="227"/>
              <w:jc w:val="both"/>
              <w:rPr>
                <w:rFonts w:asciiTheme="minorHAnsi" w:hAnsiTheme="minorHAnsi" w:cstheme="minorHAnsi"/>
                <w:sz w:val="20"/>
              </w:rPr>
            </w:pPr>
          </w:p>
          <w:p w:rsidRPr="00E76770" w:rsidR="0083630C" w:rsidP="00A42FF3" w:rsidRDefault="00983DC2" w14:paraId="33C3C989" w14:textId="6BA86465">
            <w:pPr>
              <w:pStyle w:val="BodyText2"/>
              <w:jc w:val="both"/>
              <w:rPr>
                <w:rFonts w:asciiTheme="minorHAnsi" w:hAnsiTheme="minorHAnsi" w:cstheme="minorHAnsi"/>
                <w:b/>
                <w:bCs w:val="0"/>
                <w:sz w:val="20"/>
              </w:rPr>
            </w:pPr>
            <w:r w:rsidRPr="00E76770">
              <w:rPr>
                <w:rFonts w:asciiTheme="minorHAnsi" w:hAnsiTheme="minorHAnsi" w:cstheme="minorHAnsi"/>
                <w:b/>
                <w:bCs w:val="0"/>
                <w:sz w:val="20"/>
              </w:rPr>
              <w:t>S</w:t>
            </w:r>
            <w:r w:rsidRPr="00E76770" w:rsidR="0083630C">
              <w:rPr>
                <w:rFonts w:asciiTheme="minorHAnsi" w:hAnsiTheme="minorHAnsi" w:cstheme="minorHAnsi"/>
                <w:b/>
                <w:bCs w:val="0"/>
                <w:sz w:val="20"/>
              </w:rPr>
              <w:t>hort courses</w:t>
            </w:r>
          </w:p>
          <w:p w:rsidRPr="00E76770" w:rsidR="0083630C" w:rsidP="00A42FF3" w:rsidRDefault="0083630C" w14:paraId="10E24AB1" w14:textId="6C66CCEA">
            <w:pPr>
              <w:pStyle w:val="BodyText2"/>
              <w:numPr>
                <w:ilvl w:val="0"/>
                <w:numId w:val="4"/>
              </w:numPr>
              <w:ind w:left="227" w:hanging="227"/>
              <w:jc w:val="both"/>
              <w:rPr>
                <w:rFonts w:asciiTheme="minorHAnsi" w:hAnsiTheme="minorHAnsi" w:cstheme="minorHAnsi"/>
                <w:sz w:val="20"/>
              </w:rPr>
            </w:pPr>
            <w:r w:rsidRPr="00E76770">
              <w:rPr>
                <w:rFonts w:asciiTheme="minorHAnsi" w:hAnsiTheme="minorHAnsi" w:cstheme="minorHAnsi"/>
                <w:sz w:val="20"/>
              </w:rPr>
              <w:t>Certificate in Knowledge Mobilisation completed via distance learning from the University of Guelph (Canada</w:t>
            </w:r>
            <w:r w:rsidR="00A42FF3">
              <w:rPr>
                <w:rFonts w:asciiTheme="minorHAnsi" w:hAnsiTheme="minorHAnsi" w:cstheme="minorHAnsi"/>
                <w:sz w:val="20"/>
              </w:rPr>
              <w:t xml:space="preserve"> </w:t>
            </w:r>
            <w:r w:rsidRPr="00E76770" w:rsidR="00F169B0">
              <w:rPr>
                <w:rFonts w:asciiTheme="minorHAnsi" w:hAnsiTheme="minorHAnsi" w:cstheme="minorHAnsi"/>
                <w:sz w:val="20"/>
              </w:rPr>
              <w:t>~</w:t>
            </w:r>
            <w:r w:rsidRPr="00E76770">
              <w:rPr>
                <w:rFonts w:asciiTheme="minorHAnsi" w:hAnsiTheme="minorHAnsi" w:cstheme="minorHAnsi"/>
                <w:sz w:val="20"/>
              </w:rPr>
              <w:t xml:space="preserve"> £500)</w:t>
            </w:r>
          </w:p>
          <w:p w:rsidRPr="00E76770" w:rsidR="00E0356E" w:rsidP="00A42FF3" w:rsidRDefault="0083630C" w14:paraId="411E72CB" w14:textId="6CF53A2E">
            <w:pPr>
              <w:pStyle w:val="BodyText2"/>
              <w:numPr>
                <w:ilvl w:val="0"/>
                <w:numId w:val="4"/>
              </w:numPr>
              <w:ind w:left="227" w:hanging="227"/>
              <w:jc w:val="both"/>
              <w:rPr>
                <w:rFonts w:asciiTheme="minorHAnsi" w:hAnsiTheme="minorHAnsi" w:cstheme="minorHAnsi"/>
                <w:sz w:val="20"/>
              </w:rPr>
            </w:pPr>
            <w:r w:rsidRPr="00E76770">
              <w:rPr>
                <w:rFonts w:asciiTheme="minorHAnsi" w:hAnsiTheme="minorHAnsi" w:cstheme="minorHAnsi"/>
                <w:sz w:val="20"/>
              </w:rPr>
              <w:t>Introduction to Qualitative Methods (Nuffield Department of Primary Health Sciences) (</w:t>
            </w:r>
            <w:r w:rsidRPr="00E76770" w:rsidR="00983DC2">
              <w:rPr>
                <w:rFonts w:asciiTheme="minorHAnsi" w:hAnsiTheme="minorHAnsi" w:cstheme="minorHAnsi"/>
                <w:sz w:val="20"/>
              </w:rPr>
              <w:t>~</w:t>
            </w:r>
            <w:r w:rsidRPr="00E76770">
              <w:rPr>
                <w:rFonts w:asciiTheme="minorHAnsi" w:hAnsiTheme="minorHAnsi" w:cstheme="minorHAnsi"/>
                <w:sz w:val="20"/>
              </w:rPr>
              <w:t>£500)</w:t>
            </w:r>
          </w:p>
        </w:tc>
      </w:tr>
      <w:tr w:rsidRPr="00885DCC"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Pr="00E76770" w:rsidR="00EA7C68" w:rsidP="00A42FF3" w:rsidRDefault="00EA7C68" w14:paraId="40483867" w14:textId="16D3360A">
            <w:pPr>
              <w:pStyle w:val="BodyText2"/>
              <w:tabs>
                <w:tab w:val="clear" w:pos="720"/>
              </w:tabs>
              <w:jc w:val="both"/>
              <w:rPr>
                <w:rFonts w:asciiTheme="minorHAnsi" w:hAnsiTheme="minorHAnsi" w:cstheme="minorHAnsi"/>
                <w:b/>
                <w:bCs w:val="0"/>
                <w:sz w:val="20"/>
              </w:rPr>
            </w:pPr>
            <w:r w:rsidRPr="00E76770">
              <w:rPr>
                <w:rFonts w:asciiTheme="minorHAnsi" w:hAnsiTheme="minorHAnsi" w:cstheme="minorHAnsi"/>
                <w:i/>
                <w:sz w:val="20"/>
              </w:rPr>
              <w:lastRenderedPageBreak/>
              <w:t>Informal training:</w:t>
            </w:r>
            <w:r w:rsidRPr="00E76770">
              <w:rPr>
                <w:rFonts w:asciiTheme="minorHAnsi" w:hAnsiTheme="minorHAnsi" w:cstheme="minorHAnsi"/>
                <w:sz w:val="20"/>
              </w:rPr>
              <w:t xml:space="preserve"> </w:t>
            </w:r>
          </w:p>
          <w:p w:rsidRPr="00E76770" w:rsidR="0083630C" w:rsidP="00A42FF3" w:rsidRDefault="0083630C" w14:paraId="27F1B28E" w14:textId="277F1BED">
            <w:pPr>
              <w:pStyle w:val="BodyText2"/>
              <w:jc w:val="both"/>
              <w:rPr>
                <w:rFonts w:asciiTheme="minorHAnsi" w:hAnsiTheme="minorHAnsi" w:cstheme="minorHAnsi"/>
                <w:sz w:val="20"/>
              </w:rPr>
            </w:pPr>
            <w:r w:rsidRPr="00E76770">
              <w:rPr>
                <w:rFonts w:asciiTheme="minorHAnsi" w:hAnsiTheme="minorHAnsi" w:cstheme="minorHAnsi"/>
                <w:sz w:val="20"/>
              </w:rPr>
              <w:t xml:space="preserve">Informal training will include attendance at seminars across the </w:t>
            </w:r>
            <w:r w:rsidRPr="00E76770" w:rsidR="00A42FF3">
              <w:rPr>
                <w:rFonts w:asciiTheme="minorHAnsi" w:hAnsiTheme="minorHAnsi" w:cstheme="minorHAnsi"/>
                <w:sz w:val="20"/>
              </w:rPr>
              <w:t>faculty</w:t>
            </w:r>
            <w:r w:rsidRPr="00E76770">
              <w:rPr>
                <w:rFonts w:asciiTheme="minorHAnsi" w:hAnsiTheme="minorHAnsi" w:cstheme="minorHAnsi"/>
                <w:sz w:val="20"/>
              </w:rPr>
              <w:t xml:space="preserve"> where appropriate. The student will benefit from an experienced supervisory team and working in an environment with staff who are undertaking research and clinical practice alongside their academic role. </w:t>
            </w:r>
          </w:p>
          <w:p w:rsidRPr="00E76770" w:rsidR="0083630C" w:rsidP="00A42FF3" w:rsidRDefault="0083630C" w14:paraId="20254277" w14:textId="3B6678AE">
            <w:pPr>
              <w:pStyle w:val="BodyText2"/>
              <w:jc w:val="both"/>
              <w:rPr>
                <w:rFonts w:asciiTheme="minorHAnsi" w:hAnsiTheme="minorHAnsi" w:cstheme="minorHAnsi"/>
                <w:sz w:val="20"/>
              </w:rPr>
            </w:pPr>
            <w:r w:rsidRPr="00E76770">
              <w:rPr>
                <w:rFonts w:asciiTheme="minorHAnsi" w:hAnsiTheme="minorHAnsi" w:cstheme="minorHAnsi"/>
                <w:sz w:val="20"/>
              </w:rPr>
              <w:t xml:space="preserve">The student will be expected to present their work at the annual </w:t>
            </w:r>
            <w:r w:rsidRPr="00E76770" w:rsidR="00F169B0">
              <w:rPr>
                <w:rFonts w:asciiTheme="minorHAnsi" w:hAnsiTheme="minorHAnsi" w:cstheme="minorHAnsi"/>
                <w:sz w:val="20"/>
              </w:rPr>
              <w:t xml:space="preserve">Keele </w:t>
            </w:r>
            <w:r w:rsidRPr="00E76770">
              <w:rPr>
                <w:rFonts w:asciiTheme="minorHAnsi" w:hAnsiTheme="minorHAnsi" w:cstheme="minorHAnsi"/>
                <w:sz w:val="20"/>
              </w:rPr>
              <w:t>postgraduate symposium, and attend training available throughout the University</w:t>
            </w:r>
            <w:r w:rsidR="00A42FF3">
              <w:rPr>
                <w:rFonts w:asciiTheme="minorHAnsi" w:hAnsiTheme="minorHAnsi" w:cstheme="minorHAnsi"/>
                <w:sz w:val="20"/>
              </w:rPr>
              <w:t xml:space="preserve"> and the SPCR</w:t>
            </w:r>
            <w:r w:rsidRPr="00E76770">
              <w:rPr>
                <w:rFonts w:asciiTheme="minorHAnsi" w:hAnsiTheme="minorHAnsi" w:cstheme="minorHAnsi"/>
                <w:sz w:val="20"/>
              </w:rPr>
              <w:t xml:space="preserve"> – for example:</w:t>
            </w:r>
          </w:p>
          <w:p w:rsidRPr="00E76770" w:rsidR="0083630C" w:rsidP="00A42FF3" w:rsidRDefault="0083630C" w14:paraId="7CC01086" w14:textId="63D93F9B">
            <w:pPr>
              <w:pStyle w:val="BodyText2"/>
              <w:numPr>
                <w:ilvl w:val="0"/>
                <w:numId w:val="3"/>
              </w:numPr>
              <w:jc w:val="both"/>
              <w:rPr>
                <w:rFonts w:asciiTheme="minorHAnsi" w:hAnsiTheme="minorHAnsi" w:cstheme="minorHAnsi"/>
                <w:sz w:val="20"/>
              </w:rPr>
            </w:pPr>
            <w:r w:rsidRPr="00E76770">
              <w:rPr>
                <w:rFonts w:asciiTheme="minorHAnsi" w:hAnsiTheme="minorHAnsi" w:cstheme="minorHAnsi"/>
                <w:sz w:val="20"/>
              </w:rPr>
              <w:t xml:space="preserve">UK Knowledge Mobilisation Alliance </w:t>
            </w:r>
            <w:r w:rsidRPr="00E76770" w:rsidR="00F169B0">
              <w:rPr>
                <w:rFonts w:asciiTheme="minorHAnsi" w:hAnsiTheme="minorHAnsi" w:cstheme="minorHAnsi"/>
                <w:sz w:val="20"/>
              </w:rPr>
              <w:t xml:space="preserve">– NIHR </w:t>
            </w:r>
            <w:r w:rsidRPr="00E76770">
              <w:rPr>
                <w:rFonts w:asciiTheme="minorHAnsi" w:hAnsiTheme="minorHAnsi" w:cstheme="minorHAnsi"/>
                <w:sz w:val="20"/>
              </w:rPr>
              <w:t xml:space="preserve">(which the supervisors </w:t>
            </w:r>
            <w:r w:rsidRPr="00E76770" w:rsidR="00F169B0">
              <w:rPr>
                <w:rFonts w:asciiTheme="minorHAnsi" w:hAnsiTheme="minorHAnsi" w:cstheme="minorHAnsi"/>
                <w:sz w:val="20"/>
              </w:rPr>
              <w:t>are current members)</w:t>
            </w:r>
            <w:r w:rsidRPr="00E76770">
              <w:rPr>
                <w:rFonts w:asciiTheme="minorHAnsi" w:hAnsiTheme="minorHAnsi" w:cstheme="minorHAnsi"/>
                <w:sz w:val="20"/>
              </w:rPr>
              <w:t>.</w:t>
            </w:r>
          </w:p>
          <w:p w:rsidRPr="0079516D" w:rsidR="00A42FF3" w:rsidP="00A42FF3" w:rsidRDefault="0083630C" w14:paraId="3B915B9D" w14:textId="77777777">
            <w:pPr>
              <w:pStyle w:val="BodyText2"/>
              <w:numPr>
                <w:ilvl w:val="0"/>
                <w:numId w:val="3"/>
              </w:numPr>
              <w:jc w:val="both"/>
              <w:rPr>
                <w:rFonts w:asciiTheme="minorHAnsi" w:hAnsiTheme="minorHAnsi" w:cstheme="minorHAnsi"/>
                <w:sz w:val="20"/>
              </w:rPr>
            </w:pPr>
            <w:r w:rsidRPr="00E76770">
              <w:rPr>
                <w:rFonts w:asciiTheme="minorHAnsi" w:hAnsiTheme="minorHAnsi" w:cstheme="minorHAnsi"/>
                <w:sz w:val="20"/>
              </w:rPr>
              <w:t>Write Fest a collaboration with 11 Universities which is part of Academic Writing Month alongside more academic skills training such as managing large documents, RefWorks, End Note, Microsoft Software training.</w:t>
            </w:r>
          </w:p>
          <w:p w:rsidRPr="00A42FF3" w:rsidR="0079516D" w:rsidP="0079516D" w:rsidRDefault="0079516D" w14:paraId="1A7365FA" w14:textId="465535A1">
            <w:pPr>
              <w:pStyle w:val="BodyText2"/>
              <w:ind w:left="1"/>
              <w:jc w:val="both"/>
              <w:rPr>
                <w:rFonts w:asciiTheme="minorHAnsi" w:hAnsiTheme="minorHAnsi" w:cstheme="minorHAnsi"/>
                <w:sz w:val="20"/>
              </w:rPr>
            </w:pPr>
          </w:p>
        </w:tc>
      </w:tr>
      <w:tr w:rsidRPr="00885DCC" w:rsidR="002812C3" w:rsidTr="002A1B47" w14:paraId="32EAB6A9" w14:textId="77777777">
        <w:tc>
          <w:tcPr>
            <w:cnfStyle w:val="001000000000" w:firstRow="0" w:lastRow="0" w:firstColumn="1" w:lastColumn="0" w:oddVBand="0" w:evenVBand="0" w:oddHBand="0" w:evenHBand="0" w:firstRowFirstColumn="0" w:firstRowLastColumn="0" w:lastRowFirstColumn="0" w:lastRowLastColumn="0"/>
            <w:tcW w:w="10343" w:type="dxa"/>
          </w:tcPr>
          <w:p w:rsidR="002812C3" w:rsidP="00A42FF3" w:rsidRDefault="002812C3" w14:paraId="21628574" w14:textId="77777777">
            <w:pPr>
              <w:pStyle w:val="BodyText2"/>
              <w:tabs>
                <w:tab w:val="clear" w:pos="720"/>
              </w:tabs>
              <w:jc w:val="both"/>
              <w:rPr>
                <w:rFonts w:asciiTheme="minorHAnsi" w:hAnsiTheme="minorHAnsi" w:cstheme="minorHAnsi"/>
                <w:bCs w:val="0"/>
                <w:i/>
                <w:iCs/>
                <w:sz w:val="20"/>
              </w:rPr>
            </w:pPr>
            <w:r w:rsidRPr="0079516D">
              <w:rPr>
                <w:rFonts w:asciiTheme="minorHAnsi" w:hAnsiTheme="minorHAnsi" w:cstheme="minorHAnsi"/>
                <w:b/>
                <w:bCs w:val="0"/>
                <w:i/>
                <w:iCs/>
                <w:sz w:val="20"/>
              </w:rPr>
              <w:t>PPIE</w:t>
            </w:r>
          </w:p>
          <w:p w:rsidRPr="00E76770" w:rsidR="002812C3" w:rsidP="00A42FF3" w:rsidRDefault="002812C3" w14:paraId="52A8DB1D" w14:textId="5BA68184">
            <w:pPr>
              <w:pStyle w:val="BodyText2"/>
              <w:tabs>
                <w:tab w:val="clear" w:pos="720"/>
              </w:tabs>
              <w:jc w:val="both"/>
              <w:rPr>
                <w:rFonts w:asciiTheme="minorHAnsi" w:hAnsiTheme="minorHAnsi" w:cstheme="minorHAnsi"/>
                <w:i/>
                <w:sz w:val="20"/>
              </w:rPr>
            </w:pPr>
            <w:r w:rsidRPr="0079516D">
              <w:rPr>
                <w:rFonts w:asciiTheme="minorHAnsi" w:hAnsiTheme="minorHAnsi" w:cstheme="minorHAnsi"/>
                <w:sz w:val="20"/>
              </w:rPr>
              <w:t>Advice from the Race Equality ambassador in community group engagement and the NIHR Race Equality Framework for PPIE.</w:t>
            </w:r>
          </w:p>
        </w:tc>
      </w:tr>
    </w:tbl>
    <w:p w:rsidR="00E0356E" w:rsidP="0079516D" w:rsidRDefault="00E0356E" w14:paraId="0C875D8F" w14:textId="6470EF88">
      <w:pPr>
        <w:spacing w:after="0" w:line="240" w:lineRule="auto"/>
        <w:rPr>
          <w:rFonts w:asciiTheme="minorHAnsi" w:hAnsiTheme="minorHAnsi" w:cstheme="minorHAnsi"/>
          <w:sz w:val="20"/>
        </w:rPr>
      </w:pPr>
    </w:p>
    <w:p w:rsidR="00D143C8" w:rsidP="0079516D" w:rsidRDefault="00D143C8" w14:paraId="5BA218A9" w14:textId="6BDB7A8F">
      <w:pPr>
        <w:spacing w:after="0" w:line="240" w:lineRule="auto"/>
        <w:rPr>
          <w:rFonts w:asciiTheme="minorHAnsi" w:hAnsiTheme="minorHAnsi" w:cstheme="minorHAnsi"/>
          <w:sz w:val="20"/>
        </w:rPr>
      </w:pPr>
      <w:r>
        <w:rPr>
          <w:rFonts w:asciiTheme="minorHAnsi" w:hAnsiTheme="minorHAnsi" w:cstheme="minorHAnsi"/>
          <w:sz w:val="20"/>
        </w:rPr>
        <w:t>Key references</w:t>
      </w:r>
    </w:p>
    <w:p w:rsidRPr="00885DCC" w:rsidR="00D143C8" w:rsidP="0079516D" w:rsidRDefault="00D143C8" w14:paraId="5DF9BFB3" w14:textId="696001BC">
      <w:pPr>
        <w:spacing w:after="0" w:line="240" w:lineRule="auto"/>
        <w:rPr>
          <w:rFonts w:asciiTheme="minorHAnsi" w:hAnsiTheme="minorHAnsi" w:cstheme="minorHAnsi"/>
          <w:sz w:val="20"/>
        </w:rPr>
      </w:pPr>
      <w:r w:rsidRPr="00D143C8">
        <w:rPr>
          <w:rFonts w:ascii="Arial" w:hAnsi="Arial" w:eastAsia="Calibri"/>
          <w:noProof/>
          <w:sz w:val="20"/>
        </w:rPr>
        <w:drawing>
          <wp:inline distT="0" distB="0" distL="0" distR="0" wp14:anchorId="58CDFD09" wp14:editId="30E8ADCB">
            <wp:extent cx="6181090" cy="5110480"/>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090" cy="5110480"/>
                    </a:xfrm>
                    <a:prstGeom prst="rect">
                      <a:avLst/>
                    </a:prstGeom>
                    <a:noFill/>
                    <a:ln>
                      <a:noFill/>
                    </a:ln>
                  </pic:spPr>
                </pic:pic>
              </a:graphicData>
            </a:graphic>
          </wp:inline>
        </w:drawing>
      </w:r>
    </w:p>
    <w:sectPr w:rsidRPr="00885DCC" w:rsidR="00D143C8" w:rsidSect="0079516D">
      <w:headerReference w:type="default" r:id="rId9"/>
      <w:footerReference w:type="default" r:id="rId10"/>
      <w:pgSz w:w="11906" w:h="16838" w:orient="portrait"/>
      <w:pgMar w:top="1276" w:right="720" w:bottom="720" w:left="72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13FF" w:rsidP="008A5DEB" w:rsidRDefault="00A013FF" w14:paraId="19AEDF53" w14:textId="77777777">
      <w:pPr>
        <w:spacing w:after="0" w:line="240" w:lineRule="auto"/>
      </w:pPr>
      <w:r>
        <w:separator/>
      </w:r>
    </w:p>
  </w:endnote>
  <w:endnote w:type="continuationSeparator" w:id="0">
    <w:p w:rsidR="00A013FF" w:rsidP="008A5DEB" w:rsidRDefault="00A013FF" w14:paraId="57B01A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13FF" w:rsidP="008A5DEB" w:rsidRDefault="00A013FF" w14:paraId="4603071D" w14:textId="77777777">
      <w:pPr>
        <w:spacing w:after="0" w:line="240" w:lineRule="auto"/>
      </w:pPr>
      <w:r>
        <w:separator/>
      </w:r>
    </w:p>
  </w:footnote>
  <w:footnote w:type="continuationSeparator" w:id="0">
    <w:p w:rsidR="00A013FF" w:rsidP="008A5DEB" w:rsidRDefault="00A013FF" w14:paraId="699A11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6D73"/>
    <w:multiLevelType w:val="hybridMultilevel"/>
    <w:tmpl w:val="649ADA0E"/>
    <w:lvl w:ilvl="0" w:tplc="08090001">
      <w:start w:val="1"/>
      <w:numFmt w:val="bullet"/>
      <w:lvlText w:val=""/>
      <w:lvlJc w:val="left"/>
      <w:pPr>
        <w:ind w:left="364" w:hanging="360"/>
      </w:pPr>
      <w:rPr>
        <w:rFonts w:hint="default" w:ascii="Symbol" w:hAnsi="Symbol"/>
      </w:rPr>
    </w:lvl>
    <w:lvl w:ilvl="1" w:tplc="08090003" w:tentative="1">
      <w:start w:val="1"/>
      <w:numFmt w:val="bullet"/>
      <w:lvlText w:val="o"/>
      <w:lvlJc w:val="left"/>
      <w:pPr>
        <w:ind w:left="1084" w:hanging="360"/>
      </w:pPr>
      <w:rPr>
        <w:rFonts w:hint="default" w:ascii="Courier New" w:hAnsi="Courier New" w:cs="Courier New"/>
      </w:rPr>
    </w:lvl>
    <w:lvl w:ilvl="2" w:tplc="08090005" w:tentative="1">
      <w:start w:val="1"/>
      <w:numFmt w:val="bullet"/>
      <w:lvlText w:val=""/>
      <w:lvlJc w:val="left"/>
      <w:pPr>
        <w:ind w:left="1804" w:hanging="360"/>
      </w:pPr>
      <w:rPr>
        <w:rFonts w:hint="default" w:ascii="Wingdings" w:hAnsi="Wingdings"/>
      </w:rPr>
    </w:lvl>
    <w:lvl w:ilvl="3" w:tplc="08090001" w:tentative="1">
      <w:start w:val="1"/>
      <w:numFmt w:val="bullet"/>
      <w:lvlText w:val=""/>
      <w:lvlJc w:val="left"/>
      <w:pPr>
        <w:ind w:left="2524" w:hanging="360"/>
      </w:pPr>
      <w:rPr>
        <w:rFonts w:hint="default" w:ascii="Symbol" w:hAnsi="Symbol"/>
      </w:rPr>
    </w:lvl>
    <w:lvl w:ilvl="4" w:tplc="08090003" w:tentative="1">
      <w:start w:val="1"/>
      <w:numFmt w:val="bullet"/>
      <w:lvlText w:val="o"/>
      <w:lvlJc w:val="left"/>
      <w:pPr>
        <w:ind w:left="3244" w:hanging="360"/>
      </w:pPr>
      <w:rPr>
        <w:rFonts w:hint="default" w:ascii="Courier New" w:hAnsi="Courier New" w:cs="Courier New"/>
      </w:rPr>
    </w:lvl>
    <w:lvl w:ilvl="5" w:tplc="08090005" w:tentative="1">
      <w:start w:val="1"/>
      <w:numFmt w:val="bullet"/>
      <w:lvlText w:val=""/>
      <w:lvlJc w:val="left"/>
      <w:pPr>
        <w:ind w:left="3964" w:hanging="360"/>
      </w:pPr>
      <w:rPr>
        <w:rFonts w:hint="default" w:ascii="Wingdings" w:hAnsi="Wingdings"/>
      </w:rPr>
    </w:lvl>
    <w:lvl w:ilvl="6" w:tplc="08090001" w:tentative="1">
      <w:start w:val="1"/>
      <w:numFmt w:val="bullet"/>
      <w:lvlText w:val=""/>
      <w:lvlJc w:val="left"/>
      <w:pPr>
        <w:ind w:left="4684" w:hanging="360"/>
      </w:pPr>
      <w:rPr>
        <w:rFonts w:hint="default" w:ascii="Symbol" w:hAnsi="Symbol"/>
      </w:rPr>
    </w:lvl>
    <w:lvl w:ilvl="7" w:tplc="08090003" w:tentative="1">
      <w:start w:val="1"/>
      <w:numFmt w:val="bullet"/>
      <w:lvlText w:val="o"/>
      <w:lvlJc w:val="left"/>
      <w:pPr>
        <w:ind w:left="5404" w:hanging="360"/>
      </w:pPr>
      <w:rPr>
        <w:rFonts w:hint="default" w:ascii="Courier New" w:hAnsi="Courier New" w:cs="Courier New"/>
      </w:rPr>
    </w:lvl>
    <w:lvl w:ilvl="8" w:tplc="08090005" w:tentative="1">
      <w:start w:val="1"/>
      <w:numFmt w:val="bullet"/>
      <w:lvlText w:val=""/>
      <w:lvlJc w:val="left"/>
      <w:pPr>
        <w:ind w:left="6124" w:hanging="360"/>
      </w:pPr>
      <w:rPr>
        <w:rFonts w:hint="default" w:ascii="Wingdings" w:hAnsi="Wingdings"/>
      </w:rPr>
    </w:lvl>
  </w:abstractNum>
  <w:abstractNum w:abstractNumId="1" w15:restartNumberingAfterBreak="0">
    <w:nsid w:val="57855618"/>
    <w:multiLevelType w:val="hybridMultilevel"/>
    <w:tmpl w:val="892612AC"/>
    <w:lvl w:ilvl="0" w:tplc="90B284E0">
      <w:start w:val="1"/>
      <w:numFmt w:val="lowerRoman"/>
      <w:lvlText w:val="%1)"/>
      <w:lvlJc w:val="left"/>
      <w:pPr>
        <w:ind w:left="361" w:hanging="360"/>
      </w:pPr>
      <w:rPr>
        <w:rFonts w:eastAsia="Times New Roman" w:asciiTheme="minorHAnsi" w:hAnsiTheme="minorHAnsi" w:cstheme="minorHAnsi"/>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abstractNum w:abstractNumId="2" w15:restartNumberingAfterBreak="0">
    <w:nsid w:val="611D5EBA"/>
    <w:multiLevelType w:val="hybridMultilevel"/>
    <w:tmpl w:val="8E861FD8"/>
    <w:lvl w:ilvl="0" w:tplc="1EC4CA1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AD477BA"/>
    <w:multiLevelType w:val="hybridMultilevel"/>
    <w:tmpl w:val="C3983076"/>
    <w:lvl w:ilvl="0" w:tplc="08090001">
      <w:start w:val="1"/>
      <w:numFmt w:val="bullet"/>
      <w:lvlText w:val=""/>
      <w:lvlJc w:val="left"/>
      <w:pPr>
        <w:ind w:left="361" w:hanging="360"/>
      </w:pPr>
      <w:rPr>
        <w:rFonts w:hint="default" w:ascii="Symbol" w:hAnsi="Symbol"/>
      </w:rPr>
    </w:lvl>
    <w:lvl w:ilvl="1" w:tplc="08090003" w:tentative="1">
      <w:start w:val="1"/>
      <w:numFmt w:val="bullet"/>
      <w:lvlText w:val="o"/>
      <w:lvlJc w:val="left"/>
      <w:pPr>
        <w:ind w:left="1081" w:hanging="360"/>
      </w:pPr>
      <w:rPr>
        <w:rFonts w:hint="default" w:ascii="Courier New" w:hAnsi="Courier New" w:cs="Courier New"/>
      </w:rPr>
    </w:lvl>
    <w:lvl w:ilvl="2" w:tplc="08090005" w:tentative="1">
      <w:start w:val="1"/>
      <w:numFmt w:val="bullet"/>
      <w:lvlText w:val=""/>
      <w:lvlJc w:val="left"/>
      <w:pPr>
        <w:ind w:left="1801" w:hanging="360"/>
      </w:pPr>
      <w:rPr>
        <w:rFonts w:hint="default" w:ascii="Wingdings" w:hAnsi="Wingdings"/>
      </w:rPr>
    </w:lvl>
    <w:lvl w:ilvl="3" w:tplc="08090001" w:tentative="1">
      <w:start w:val="1"/>
      <w:numFmt w:val="bullet"/>
      <w:lvlText w:val=""/>
      <w:lvlJc w:val="left"/>
      <w:pPr>
        <w:ind w:left="2521" w:hanging="360"/>
      </w:pPr>
      <w:rPr>
        <w:rFonts w:hint="default" w:ascii="Symbol" w:hAnsi="Symbol"/>
      </w:rPr>
    </w:lvl>
    <w:lvl w:ilvl="4" w:tplc="08090003" w:tentative="1">
      <w:start w:val="1"/>
      <w:numFmt w:val="bullet"/>
      <w:lvlText w:val="o"/>
      <w:lvlJc w:val="left"/>
      <w:pPr>
        <w:ind w:left="3241" w:hanging="360"/>
      </w:pPr>
      <w:rPr>
        <w:rFonts w:hint="default" w:ascii="Courier New" w:hAnsi="Courier New" w:cs="Courier New"/>
      </w:rPr>
    </w:lvl>
    <w:lvl w:ilvl="5" w:tplc="08090005" w:tentative="1">
      <w:start w:val="1"/>
      <w:numFmt w:val="bullet"/>
      <w:lvlText w:val=""/>
      <w:lvlJc w:val="left"/>
      <w:pPr>
        <w:ind w:left="3961" w:hanging="360"/>
      </w:pPr>
      <w:rPr>
        <w:rFonts w:hint="default" w:ascii="Wingdings" w:hAnsi="Wingdings"/>
      </w:rPr>
    </w:lvl>
    <w:lvl w:ilvl="6" w:tplc="08090001" w:tentative="1">
      <w:start w:val="1"/>
      <w:numFmt w:val="bullet"/>
      <w:lvlText w:val=""/>
      <w:lvlJc w:val="left"/>
      <w:pPr>
        <w:ind w:left="4681" w:hanging="360"/>
      </w:pPr>
      <w:rPr>
        <w:rFonts w:hint="default" w:ascii="Symbol" w:hAnsi="Symbol"/>
      </w:rPr>
    </w:lvl>
    <w:lvl w:ilvl="7" w:tplc="08090003" w:tentative="1">
      <w:start w:val="1"/>
      <w:numFmt w:val="bullet"/>
      <w:lvlText w:val="o"/>
      <w:lvlJc w:val="left"/>
      <w:pPr>
        <w:ind w:left="5401" w:hanging="360"/>
      </w:pPr>
      <w:rPr>
        <w:rFonts w:hint="default" w:ascii="Courier New" w:hAnsi="Courier New" w:cs="Courier New"/>
      </w:rPr>
    </w:lvl>
    <w:lvl w:ilvl="8" w:tplc="08090005" w:tentative="1">
      <w:start w:val="1"/>
      <w:numFmt w:val="bullet"/>
      <w:lvlText w:val=""/>
      <w:lvlJc w:val="left"/>
      <w:pPr>
        <w:ind w:left="6121" w:hanging="360"/>
      </w:pPr>
      <w:rPr>
        <w:rFonts w:hint="default" w:ascii="Wingdings" w:hAnsi="Wingdings"/>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9232A"/>
    <w:rsid w:val="000C2AB2"/>
    <w:rsid w:val="000E19FC"/>
    <w:rsid w:val="00140508"/>
    <w:rsid w:val="00160537"/>
    <w:rsid w:val="00244693"/>
    <w:rsid w:val="00274ACB"/>
    <w:rsid w:val="002812C3"/>
    <w:rsid w:val="002A1B47"/>
    <w:rsid w:val="002A7C91"/>
    <w:rsid w:val="002B0282"/>
    <w:rsid w:val="002F31FE"/>
    <w:rsid w:val="00323521"/>
    <w:rsid w:val="00362B4E"/>
    <w:rsid w:val="00375E20"/>
    <w:rsid w:val="003B7A0B"/>
    <w:rsid w:val="003D3743"/>
    <w:rsid w:val="004041E7"/>
    <w:rsid w:val="00450C7C"/>
    <w:rsid w:val="00491691"/>
    <w:rsid w:val="004E3BC1"/>
    <w:rsid w:val="00515545"/>
    <w:rsid w:val="00540F80"/>
    <w:rsid w:val="00547F10"/>
    <w:rsid w:val="00565132"/>
    <w:rsid w:val="005A4F80"/>
    <w:rsid w:val="00745268"/>
    <w:rsid w:val="00747A0E"/>
    <w:rsid w:val="00787EF3"/>
    <w:rsid w:val="0079516D"/>
    <w:rsid w:val="007E11EC"/>
    <w:rsid w:val="00804C32"/>
    <w:rsid w:val="0083630C"/>
    <w:rsid w:val="008410F0"/>
    <w:rsid w:val="00841D5A"/>
    <w:rsid w:val="008460FD"/>
    <w:rsid w:val="008647B8"/>
    <w:rsid w:val="00885DCC"/>
    <w:rsid w:val="008A5DEB"/>
    <w:rsid w:val="00941C0F"/>
    <w:rsid w:val="00956790"/>
    <w:rsid w:val="00980F3B"/>
    <w:rsid w:val="00983DC2"/>
    <w:rsid w:val="009B098C"/>
    <w:rsid w:val="009F24DA"/>
    <w:rsid w:val="00A013FF"/>
    <w:rsid w:val="00A42FF3"/>
    <w:rsid w:val="00A87625"/>
    <w:rsid w:val="00AC5D34"/>
    <w:rsid w:val="00B5282A"/>
    <w:rsid w:val="00BB53BF"/>
    <w:rsid w:val="00BD00CC"/>
    <w:rsid w:val="00C258FF"/>
    <w:rsid w:val="00C61B3A"/>
    <w:rsid w:val="00C61C47"/>
    <w:rsid w:val="00D143C8"/>
    <w:rsid w:val="00E0356E"/>
    <w:rsid w:val="00E76770"/>
    <w:rsid w:val="00EA7C68"/>
    <w:rsid w:val="00EC6D60"/>
    <w:rsid w:val="00F169B0"/>
    <w:rsid w:val="00F32616"/>
    <w:rsid w:val="00F47E0B"/>
    <w:rsid w:val="00FF6AEA"/>
    <w:rsid w:val="61872B63"/>
    <w:rsid w:val="7200C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CBD6"/>
  <w15:docId w15:val="{0C93BDDA-322C-4C7B-8BB4-2BB9AD33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BodyText">
    <w:name w:val="Body Text"/>
    <w:basedOn w:val="Normal"/>
    <w:link w:val="BodyTextChar"/>
    <w:uiPriority w:val="99"/>
    <w:semiHidden/>
    <w:unhideWhenUsed/>
    <w:rsid w:val="00941C0F"/>
    <w:pPr>
      <w:spacing w:after="120"/>
    </w:pPr>
  </w:style>
  <w:style w:type="character" w:styleId="BodyTextChar" w:customStyle="1">
    <w:name w:val="Body Text Char"/>
    <w:basedOn w:val="DefaultParagraphFont"/>
    <w:link w:val="BodyText"/>
    <w:uiPriority w:val="99"/>
    <w:semiHidden/>
    <w:rsid w:val="0094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E3C5D"/>
    <w:rsid w:val="00607F77"/>
    <w:rsid w:val="009B098C"/>
    <w:rsid w:val="00C87122"/>
    <w:rsid w:val="00D63071"/>
    <w:rsid w:val="00F16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E9C51-C641-4ABD-904A-739BE1A8EE3F}">
  <ds:schemaRefs>
    <ds:schemaRef ds:uri="http://schemas.openxmlformats.org/officeDocument/2006/bibliography"/>
  </ds:schemaRefs>
</ds:datastoreItem>
</file>

<file path=customXml/itemProps2.xml><?xml version="1.0" encoding="utf-8"?>
<ds:datastoreItem xmlns:ds="http://schemas.openxmlformats.org/officeDocument/2006/customXml" ds:itemID="{FE5A6CF3-0B52-4C20-90C3-F2DDBB9F7E43}"/>
</file>

<file path=customXml/itemProps3.xml><?xml version="1.0" encoding="utf-8"?>
<ds:datastoreItem xmlns:ds="http://schemas.openxmlformats.org/officeDocument/2006/customXml" ds:itemID="{F623663A-DBCD-4FC5-BC9C-01F9975E1716}"/>
</file>

<file path=customXml/itemProps4.xml><?xml version="1.0" encoding="utf-8"?>
<ds:datastoreItem xmlns:ds="http://schemas.openxmlformats.org/officeDocument/2006/customXml" ds:itemID="{68CEB69B-181C-42A8-8B2C-8321531B63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pra79</dc:creator>
  <keywords/>
  <dc:description/>
  <lastModifiedBy>Esther Van Vliet</lastModifiedBy>
  <revision>7</revision>
  <dcterms:created xsi:type="dcterms:W3CDTF">2022-01-12T11:54:00.0000000Z</dcterms:created>
  <dcterms:modified xsi:type="dcterms:W3CDTF">2022-01-13T16:35:14.9285546Z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