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rsidRPr="00C57E99"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0CE4A6F5" w:rsidR="002C791D" w:rsidRPr="00C57E99" w:rsidRDefault="002C791D">
            <w:pPr>
              <w:spacing w:line="240" w:lineRule="auto"/>
              <w:rPr>
                <w:rFonts w:asciiTheme="minorHAnsi" w:hAnsiTheme="minorHAnsi" w:cstheme="minorHAnsi"/>
                <w:color w:val="2F5496" w:themeColor="accent1" w:themeShade="BF"/>
                <w:sz w:val="28"/>
                <w:szCs w:val="28"/>
              </w:rPr>
            </w:pPr>
            <w:r w:rsidRPr="00C57E99">
              <w:rPr>
                <w:rFonts w:asciiTheme="minorHAnsi" w:hAnsiTheme="minorHAnsi" w:cstheme="minorHAnsi"/>
                <w:color w:val="2F5496" w:themeColor="accent1" w:themeShade="BF"/>
                <w:sz w:val="28"/>
                <w:szCs w:val="28"/>
              </w:rPr>
              <w:t xml:space="preserve">Host department: </w:t>
            </w:r>
            <w:sdt>
              <w:sdtPr>
                <w:rPr>
                  <w:rFonts w:asciiTheme="minorHAnsi" w:hAnsiTheme="minorHAnsi" w:cs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B525B9" w:rsidRPr="00C57E99">
                  <w:rPr>
                    <w:rFonts w:asciiTheme="minorHAnsi" w:hAnsiTheme="minorHAnsi" w:cstheme="minorHAnsi"/>
                    <w:color w:val="2F5496" w:themeColor="accent1" w:themeShade="BF"/>
                    <w:sz w:val="28"/>
                    <w:szCs w:val="28"/>
                  </w:rPr>
                  <w:t>Oxford</w:t>
                </w:r>
              </w:sdtContent>
            </w:sdt>
          </w:p>
        </w:tc>
      </w:tr>
      <w:tr w:rsidR="002C791D" w:rsidRPr="00C57E99"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25B56286" w:rsidR="002C791D" w:rsidRPr="00C57E99" w:rsidRDefault="002C791D">
            <w:pPr>
              <w:spacing w:line="240" w:lineRule="auto"/>
              <w:rPr>
                <w:rFonts w:asciiTheme="minorHAnsi" w:hAnsiTheme="minorHAnsi" w:cstheme="minorHAnsi"/>
                <w:szCs w:val="24"/>
              </w:rPr>
            </w:pPr>
            <w:r w:rsidRPr="00C57E99">
              <w:rPr>
                <w:rFonts w:asciiTheme="minorHAnsi" w:hAnsiTheme="minorHAnsi" w:cstheme="minorHAnsi"/>
                <w:color w:val="2F5496" w:themeColor="accent1" w:themeShade="BF"/>
                <w:sz w:val="28"/>
                <w:szCs w:val="24"/>
              </w:rPr>
              <w:t>Project Title:</w:t>
            </w:r>
            <w:r w:rsidR="00B525B9" w:rsidRPr="00C57E99">
              <w:rPr>
                <w:rFonts w:asciiTheme="minorHAnsi" w:hAnsiTheme="minorHAnsi" w:cstheme="minorHAnsi"/>
                <w:color w:val="2F5496" w:themeColor="accent1" w:themeShade="BF"/>
                <w:sz w:val="28"/>
                <w:szCs w:val="24"/>
              </w:rPr>
              <w:t xml:space="preserve"> </w:t>
            </w:r>
            <w:r w:rsidR="00F76E81" w:rsidRPr="00C57E99">
              <w:rPr>
                <w:rFonts w:asciiTheme="minorHAnsi" w:hAnsiTheme="minorHAnsi" w:cstheme="minorHAnsi"/>
                <w:lang w:eastAsia="en-GB"/>
              </w:rPr>
              <w:t xml:space="preserve">A Mixed-Methods Analysis </w:t>
            </w:r>
            <w:r w:rsidR="00B525B9" w:rsidRPr="00C57E99">
              <w:rPr>
                <w:rFonts w:asciiTheme="minorHAnsi" w:hAnsiTheme="minorHAnsi" w:cstheme="minorHAnsi"/>
                <w:lang w:eastAsia="en-GB"/>
              </w:rPr>
              <w:t>of Antimicrobial Stewardship Quality Indicators for Primary Care</w:t>
            </w:r>
            <w:r w:rsidR="00F76E81" w:rsidRPr="00C57E99">
              <w:rPr>
                <w:rFonts w:asciiTheme="minorHAnsi" w:hAnsiTheme="minorHAnsi" w:cstheme="minorHAnsi"/>
                <w:lang w:eastAsia="en-GB"/>
              </w:rPr>
              <w:t xml:space="preserve"> </w:t>
            </w:r>
            <w:r w:rsidR="00335507" w:rsidRPr="00C57E99">
              <w:rPr>
                <w:rFonts w:asciiTheme="minorHAnsi" w:hAnsiTheme="minorHAnsi" w:cstheme="minorHAnsi"/>
                <w:lang w:eastAsia="en-GB"/>
              </w:rPr>
              <w:t xml:space="preserve">in </w:t>
            </w:r>
            <w:r w:rsidR="00B525B9" w:rsidRPr="00C57E99">
              <w:rPr>
                <w:rFonts w:asciiTheme="minorHAnsi" w:hAnsiTheme="minorHAnsi" w:cstheme="minorHAnsi"/>
                <w:lang w:eastAsia="en-GB"/>
              </w:rPr>
              <w:t>Latin America and the Caribbean</w:t>
            </w:r>
          </w:p>
        </w:tc>
      </w:tr>
      <w:tr w:rsidR="002C791D" w:rsidRPr="00C57E99"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77777777" w:rsidR="002C791D" w:rsidRPr="00C57E99" w:rsidRDefault="002C791D" w:rsidP="002C791D">
            <w:pPr>
              <w:spacing w:after="120" w:line="240" w:lineRule="auto"/>
              <w:rPr>
                <w:rFonts w:asciiTheme="minorHAnsi" w:hAnsiTheme="minorHAnsi" w:cstheme="minorHAnsi"/>
                <w:szCs w:val="24"/>
              </w:rPr>
            </w:pPr>
          </w:p>
        </w:tc>
      </w:tr>
      <w:tr w:rsidR="002C791D" w:rsidRPr="00C57E99"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FFD804F" w14:textId="6DA5549B" w:rsidR="00B525B9" w:rsidRPr="00C57E99" w:rsidRDefault="002C791D">
            <w:pPr>
              <w:spacing w:line="240" w:lineRule="auto"/>
              <w:rPr>
                <w:rFonts w:asciiTheme="minorHAnsi" w:hAnsiTheme="minorHAnsi" w:cstheme="minorHAnsi"/>
                <w:b w:val="0"/>
                <w:bCs w:val="0"/>
                <w:szCs w:val="24"/>
              </w:rPr>
            </w:pPr>
            <w:r w:rsidRPr="00C57E99">
              <w:rPr>
                <w:rFonts w:asciiTheme="minorHAnsi" w:hAnsiTheme="minorHAnsi" w:cstheme="minorHAnsi"/>
                <w:color w:val="2F5496" w:themeColor="accent1" w:themeShade="BF"/>
                <w:sz w:val="28"/>
                <w:szCs w:val="24"/>
              </w:rPr>
              <w:t>Proposed supervisory team:</w:t>
            </w:r>
            <w:r w:rsidRPr="00C57E99">
              <w:rPr>
                <w:rFonts w:asciiTheme="minorHAnsi" w:hAnsiTheme="minorHAnsi" w:cstheme="minorHAnsi"/>
                <w:szCs w:val="24"/>
              </w:rPr>
              <w:t xml:space="preserve">    </w:t>
            </w:r>
          </w:p>
          <w:p w14:paraId="7AABA927" w14:textId="78044D45" w:rsidR="00594738" w:rsidRPr="00C57E99" w:rsidRDefault="00594738">
            <w:pPr>
              <w:spacing w:line="240" w:lineRule="auto"/>
              <w:rPr>
                <w:rFonts w:asciiTheme="minorHAnsi" w:hAnsiTheme="minorHAnsi" w:cstheme="minorHAnsi"/>
                <w:b w:val="0"/>
                <w:bCs w:val="0"/>
                <w:szCs w:val="24"/>
              </w:rPr>
            </w:pPr>
            <w:r w:rsidRPr="00C57E99">
              <w:rPr>
                <w:rFonts w:asciiTheme="minorHAnsi" w:hAnsiTheme="minorHAnsi" w:cstheme="minorHAnsi"/>
                <w:szCs w:val="24"/>
              </w:rPr>
              <w:t>Professor Chris Butler</w:t>
            </w:r>
          </w:p>
          <w:p w14:paraId="58155AAF" w14:textId="1C0E4146" w:rsidR="00594738" w:rsidRPr="00C57E99" w:rsidRDefault="00594738">
            <w:pPr>
              <w:spacing w:line="240" w:lineRule="auto"/>
              <w:rPr>
                <w:rFonts w:asciiTheme="minorHAnsi" w:hAnsiTheme="minorHAnsi" w:cstheme="minorHAnsi"/>
                <w:b w:val="0"/>
                <w:bCs w:val="0"/>
                <w:szCs w:val="24"/>
              </w:rPr>
            </w:pPr>
            <w:r w:rsidRPr="00C57E99">
              <w:rPr>
                <w:rFonts w:asciiTheme="minorHAnsi" w:hAnsiTheme="minorHAnsi" w:cstheme="minorHAnsi"/>
                <w:szCs w:val="24"/>
              </w:rPr>
              <w:t>Associate Professor Gail Hayward</w:t>
            </w:r>
          </w:p>
          <w:p w14:paraId="69EAD46C" w14:textId="7D2D81C4" w:rsidR="00AF0C10" w:rsidRPr="00C57E99" w:rsidRDefault="00AF0C10">
            <w:pPr>
              <w:spacing w:line="240" w:lineRule="auto"/>
              <w:rPr>
                <w:rFonts w:asciiTheme="minorHAnsi" w:hAnsiTheme="minorHAnsi" w:cstheme="minorHAnsi"/>
                <w:b w:val="0"/>
                <w:bCs w:val="0"/>
                <w:szCs w:val="24"/>
              </w:rPr>
            </w:pPr>
            <w:r w:rsidRPr="00C57E99">
              <w:rPr>
                <w:rFonts w:asciiTheme="minorHAnsi" w:hAnsiTheme="minorHAnsi" w:cstheme="minorHAnsi"/>
                <w:szCs w:val="24"/>
              </w:rPr>
              <w:t>Dr Sarah Tonkin-Crine</w:t>
            </w:r>
          </w:p>
          <w:p w14:paraId="55D82A92" w14:textId="0A7B6880" w:rsidR="001F5E8A" w:rsidRPr="00C57E99" w:rsidRDefault="001F5E8A">
            <w:pPr>
              <w:spacing w:line="240" w:lineRule="auto"/>
              <w:rPr>
                <w:rFonts w:asciiTheme="minorHAnsi" w:hAnsiTheme="minorHAnsi" w:cstheme="minorHAnsi"/>
                <w:b w:val="0"/>
                <w:bCs w:val="0"/>
                <w:szCs w:val="24"/>
              </w:rPr>
            </w:pPr>
            <w:r w:rsidRPr="00C57E99">
              <w:rPr>
                <w:rFonts w:asciiTheme="minorHAnsi" w:hAnsiTheme="minorHAnsi" w:cstheme="minorHAnsi"/>
                <w:szCs w:val="24"/>
              </w:rPr>
              <w:t>Associate Professor Ly-Mee Yu</w:t>
            </w:r>
          </w:p>
          <w:p w14:paraId="6DDDDCF8" w14:textId="77777777" w:rsidR="00594738" w:rsidRPr="00C57E99" w:rsidRDefault="00594738">
            <w:pPr>
              <w:spacing w:line="240" w:lineRule="auto"/>
              <w:rPr>
                <w:rFonts w:asciiTheme="minorHAnsi" w:hAnsiTheme="minorHAnsi" w:cstheme="minorHAnsi"/>
                <w:b w:val="0"/>
                <w:bCs w:val="0"/>
                <w:szCs w:val="24"/>
              </w:rPr>
            </w:pPr>
          </w:p>
          <w:p w14:paraId="56FB6276" w14:textId="62829C23" w:rsidR="00FC4D3D" w:rsidRPr="00C57E99" w:rsidRDefault="00594738">
            <w:pPr>
              <w:spacing w:line="240" w:lineRule="auto"/>
              <w:rPr>
                <w:rFonts w:asciiTheme="minorHAnsi" w:hAnsiTheme="minorHAnsi" w:cstheme="minorHAnsi"/>
                <w:b w:val="0"/>
                <w:bCs w:val="0"/>
                <w:szCs w:val="24"/>
              </w:rPr>
            </w:pPr>
            <w:r w:rsidRPr="00C57E99">
              <w:rPr>
                <w:rFonts w:asciiTheme="minorHAnsi" w:hAnsiTheme="minorHAnsi" w:cstheme="minorHAnsi"/>
                <w:szCs w:val="24"/>
              </w:rPr>
              <w:t>(Director of Graduate Studies</w:t>
            </w:r>
            <w:r w:rsidR="00793B67" w:rsidRPr="00C57E99">
              <w:rPr>
                <w:rFonts w:asciiTheme="minorHAnsi" w:hAnsiTheme="minorHAnsi" w:cstheme="minorHAnsi"/>
                <w:szCs w:val="24"/>
              </w:rPr>
              <w:t xml:space="preserve"> and Professor of Primary Care</w:t>
            </w:r>
            <w:r w:rsidRPr="00C57E99">
              <w:rPr>
                <w:rFonts w:asciiTheme="minorHAnsi" w:hAnsiTheme="minorHAnsi" w:cstheme="minorHAnsi"/>
                <w:szCs w:val="24"/>
              </w:rPr>
              <w:t>– Anthony Harnden)</w:t>
            </w:r>
          </w:p>
          <w:p w14:paraId="7F543DF9" w14:textId="77777777" w:rsidR="00FC4D3D" w:rsidRPr="00C57E99" w:rsidRDefault="00FC4D3D">
            <w:pPr>
              <w:spacing w:line="240" w:lineRule="auto"/>
              <w:rPr>
                <w:rFonts w:asciiTheme="minorHAnsi" w:hAnsiTheme="minorHAnsi" w:cstheme="minorHAnsi"/>
                <w:b w:val="0"/>
                <w:bCs w:val="0"/>
                <w:szCs w:val="24"/>
              </w:rPr>
            </w:pPr>
          </w:p>
          <w:p w14:paraId="3E92BA01" w14:textId="04FD2A81" w:rsidR="00FC4D3D" w:rsidRPr="00C57E99" w:rsidRDefault="00FC4D3D">
            <w:pPr>
              <w:spacing w:line="240" w:lineRule="auto"/>
              <w:rPr>
                <w:rFonts w:asciiTheme="minorHAnsi" w:hAnsiTheme="minorHAnsi" w:cstheme="minorHAnsi"/>
                <w:szCs w:val="24"/>
              </w:rPr>
            </w:pPr>
          </w:p>
        </w:tc>
      </w:tr>
      <w:tr w:rsidR="002C791D" w:rsidRPr="00C57E99"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Pr="00C57E99" w:rsidRDefault="002C791D">
            <w:pPr>
              <w:pStyle w:val="ListParagraph"/>
              <w:spacing w:line="240" w:lineRule="auto"/>
              <w:ind w:left="360"/>
              <w:rPr>
                <w:rFonts w:asciiTheme="minorHAnsi" w:hAnsiTheme="minorHAnsi" w:cstheme="minorHAnsi"/>
                <w:szCs w:val="24"/>
              </w:rPr>
            </w:pPr>
          </w:p>
        </w:tc>
      </w:tr>
      <w:tr w:rsidR="002C791D" w:rsidRPr="00C57E99"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3F783F1C" w:rsidR="002C791D" w:rsidRPr="00C57E99" w:rsidRDefault="002C791D">
            <w:pPr>
              <w:spacing w:line="240" w:lineRule="auto"/>
              <w:rPr>
                <w:rFonts w:asciiTheme="minorHAnsi" w:hAnsiTheme="minorHAnsi" w:cstheme="minorHAnsi"/>
                <w:color w:val="2F5496" w:themeColor="accent1" w:themeShade="BF"/>
                <w:sz w:val="28"/>
                <w:szCs w:val="28"/>
              </w:rPr>
            </w:pPr>
            <w:r w:rsidRPr="00C57E99">
              <w:rPr>
                <w:rFonts w:asciiTheme="minorHAnsi" w:hAnsiTheme="minorHAnsi" w:cstheme="minorHAnsi"/>
                <w:color w:val="2F5496" w:themeColor="accent1" w:themeShade="BF"/>
                <w:sz w:val="28"/>
                <w:szCs w:val="28"/>
              </w:rPr>
              <w:t xml:space="preserve">Potential for </w:t>
            </w:r>
            <w:r w:rsidR="00D12D29" w:rsidRPr="00C57E99">
              <w:rPr>
                <w:rFonts w:asciiTheme="minorHAnsi" w:hAnsiTheme="minorHAnsi" w:cstheme="minorHAnsi"/>
                <w:color w:val="2F5496" w:themeColor="accent1" w:themeShade="BF"/>
                <w:sz w:val="28"/>
                <w:szCs w:val="28"/>
              </w:rPr>
              <w:t>cross-consortium</w:t>
            </w:r>
            <w:r w:rsidRPr="00C57E99">
              <w:rPr>
                <w:rFonts w:asciiTheme="minorHAnsi" w:hAnsiTheme="minorHAnsi" w:cstheme="minorHAnsi"/>
                <w:color w:val="2F5496" w:themeColor="accent1" w:themeShade="BF"/>
                <w:sz w:val="28"/>
                <w:szCs w:val="28"/>
              </w:rPr>
              <w:t xml:space="preserve"> networking and educational opportunities:</w:t>
            </w:r>
          </w:p>
        </w:tc>
      </w:tr>
      <w:tr w:rsidR="002C791D" w:rsidRPr="00C57E99"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61FF14" w14:textId="2853A96C" w:rsidR="00962530" w:rsidRPr="00C57E99" w:rsidRDefault="00DC01A8" w:rsidP="00962530">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 xml:space="preserve">This project </w:t>
            </w:r>
            <w:r w:rsidR="00E1019A" w:rsidRPr="00C57E99">
              <w:rPr>
                <w:rFonts w:asciiTheme="minorHAnsi" w:eastAsia="Times New Roman" w:hAnsiTheme="minorHAnsi" w:cstheme="minorHAnsi"/>
                <w:b w:val="0"/>
                <w:bCs w:val="0"/>
                <w:color w:val="0E101A"/>
                <w:szCs w:val="24"/>
                <w:lang w:eastAsia="en-GB"/>
              </w:rPr>
              <w:t>build</w:t>
            </w:r>
            <w:r w:rsidR="0002590B" w:rsidRPr="00C57E99">
              <w:rPr>
                <w:rFonts w:asciiTheme="minorHAnsi" w:eastAsia="Times New Roman" w:hAnsiTheme="minorHAnsi" w:cstheme="minorHAnsi"/>
                <w:b w:val="0"/>
                <w:bCs w:val="0"/>
                <w:color w:val="0E101A"/>
                <w:szCs w:val="24"/>
                <w:lang w:eastAsia="en-GB"/>
              </w:rPr>
              <w:t>s</w:t>
            </w:r>
            <w:r w:rsidR="00E1019A" w:rsidRPr="00C57E99">
              <w:rPr>
                <w:rFonts w:asciiTheme="minorHAnsi" w:eastAsia="Times New Roman" w:hAnsiTheme="minorHAnsi" w:cstheme="minorHAnsi"/>
                <w:b w:val="0"/>
                <w:bCs w:val="0"/>
                <w:color w:val="0E101A"/>
                <w:szCs w:val="24"/>
                <w:lang w:eastAsia="en-GB"/>
              </w:rPr>
              <w:t xml:space="preserve"> on the</w:t>
            </w:r>
            <w:r w:rsidR="003C43E9" w:rsidRPr="00C57E99">
              <w:rPr>
                <w:rFonts w:asciiTheme="minorHAnsi" w:eastAsia="Times New Roman" w:hAnsiTheme="minorHAnsi" w:cstheme="minorHAnsi"/>
                <w:b w:val="0"/>
                <w:bCs w:val="0"/>
                <w:color w:val="0E101A"/>
                <w:szCs w:val="24"/>
                <w:lang w:eastAsia="en-GB"/>
              </w:rPr>
              <w:t xml:space="preserve"> </w:t>
            </w:r>
            <w:r w:rsidRPr="00C57E99">
              <w:rPr>
                <w:rFonts w:asciiTheme="minorHAnsi" w:eastAsia="Times New Roman" w:hAnsiTheme="minorHAnsi" w:cstheme="minorHAnsi"/>
                <w:b w:val="0"/>
                <w:bCs w:val="0"/>
                <w:color w:val="0E101A"/>
                <w:szCs w:val="24"/>
                <w:lang w:eastAsia="en-GB"/>
              </w:rPr>
              <w:t>integrat</w:t>
            </w:r>
            <w:r w:rsidR="00E1019A" w:rsidRPr="00C57E99">
              <w:rPr>
                <w:rFonts w:asciiTheme="minorHAnsi" w:eastAsia="Times New Roman" w:hAnsiTheme="minorHAnsi" w:cstheme="minorHAnsi"/>
                <w:b w:val="0"/>
                <w:bCs w:val="0"/>
                <w:color w:val="0E101A"/>
                <w:szCs w:val="24"/>
                <w:lang w:eastAsia="en-GB"/>
              </w:rPr>
              <w:t xml:space="preserve">ion of </w:t>
            </w:r>
            <w:r w:rsidRPr="00C57E99">
              <w:rPr>
                <w:rFonts w:asciiTheme="minorHAnsi" w:eastAsia="Times New Roman" w:hAnsiTheme="minorHAnsi" w:cstheme="minorHAnsi"/>
                <w:b w:val="0"/>
                <w:bCs w:val="0"/>
                <w:color w:val="0E101A"/>
                <w:szCs w:val="24"/>
                <w:lang w:eastAsia="en-GB"/>
              </w:rPr>
              <w:t>experts in public health institutions such as the Caribbean Public Health Agency (CARPHA), top transregional academic institutions such as The University of the West Indies</w:t>
            </w:r>
            <w:r w:rsidR="00CF3C13" w:rsidRPr="00C57E99">
              <w:rPr>
                <w:rFonts w:asciiTheme="minorHAnsi" w:eastAsia="Times New Roman" w:hAnsiTheme="minorHAnsi" w:cstheme="minorHAnsi"/>
                <w:b w:val="0"/>
                <w:bCs w:val="0"/>
                <w:color w:val="0E101A"/>
                <w:szCs w:val="24"/>
                <w:lang w:eastAsia="en-GB"/>
              </w:rPr>
              <w:t xml:space="preserve"> (UWI)</w:t>
            </w:r>
            <w:r w:rsidRPr="00C57E99">
              <w:rPr>
                <w:rFonts w:asciiTheme="minorHAnsi" w:eastAsia="Times New Roman" w:hAnsiTheme="minorHAnsi" w:cstheme="minorHAnsi"/>
                <w:b w:val="0"/>
                <w:bCs w:val="0"/>
                <w:color w:val="0E101A"/>
                <w:szCs w:val="24"/>
                <w:lang w:eastAsia="en-GB"/>
              </w:rPr>
              <w:t>, intergovernmental agencies</w:t>
            </w:r>
            <w:r w:rsidR="00962530" w:rsidRPr="00C57E99">
              <w:rPr>
                <w:rFonts w:asciiTheme="minorHAnsi" w:eastAsia="Times New Roman" w:hAnsiTheme="minorHAnsi" w:cstheme="minorHAnsi"/>
                <w:b w:val="0"/>
                <w:bCs w:val="0"/>
                <w:color w:val="0E101A"/>
                <w:szCs w:val="24"/>
                <w:lang w:eastAsia="en-GB"/>
              </w:rPr>
              <w:t>,</w:t>
            </w:r>
            <w:r w:rsidRPr="00C57E99">
              <w:rPr>
                <w:rFonts w:asciiTheme="minorHAnsi" w:eastAsia="Times New Roman" w:hAnsiTheme="minorHAnsi" w:cstheme="minorHAnsi"/>
                <w:b w:val="0"/>
                <w:bCs w:val="0"/>
                <w:color w:val="0E101A"/>
                <w:szCs w:val="24"/>
                <w:lang w:eastAsia="en-GB"/>
              </w:rPr>
              <w:t xml:space="preserve"> and the University of Oxford. </w:t>
            </w:r>
            <w:r w:rsidR="00962530" w:rsidRPr="00C57E99">
              <w:rPr>
                <w:rFonts w:asciiTheme="minorHAnsi" w:eastAsia="Times New Roman" w:hAnsiTheme="minorHAnsi" w:cstheme="minorHAnsi"/>
                <w:b w:val="0"/>
                <w:bCs w:val="0"/>
                <w:color w:val="0E101A"/>
                <w:szCs w:val="24"/>
                <w:lang w:eastAsia="en-GB"/>
              </w:rPr>
              <w:t xml:space="preserve">Its </w:t>
            </w:r>
            <w:r w:rsidR="00E258CC" w:rsidRPr="00C57E99">
              <w:rPr>
                <w:rFonts w:asciiTheme="minorHAnsi" w:eastAsia="Times New Roman" w:hAnsiTheme="minorHAnsi" w:cstheme="minorHAnsi"/>
                <w:b w:val="0"/>
                <w:bCs w:val="0"/>
                <w:color w:val="0E101A"/>
                <w:szCs w:val="24"/>
                <w:lang w:eastAsia="en-GB"/>
              </w:rPr>
              <w:t>elements present opportunities</w:t>
            </w:r>
            <w:r w:rsidR="00962530" w:rsidRPr="00C57E99">
              <w:rPr>
                <w:rFonts w:asciiTheme="minorHAnsi" w:eastAsia="Times New Roman" w:hAnsiTheme="minorHAnsi" w:cstheme="minorHAnsi"/>
                <w:b w:val="0"/>
                <w:bCs w:val="0"/>
                <w:color w:val="0E101A"/>
                <w:szCs w:val="24"/>
                <w:lang w:eastAsia="en-GB"/>
              </w:rPr>
              <w:t xml:space="preserve"> for </w:t>
            </w:r>
            <w:r w:rsidR="00CF3C13" w:rsidRPr="00C57E99">
              <w:rPr>
                <w:rFonts w:asciiTheme="minorHAnsi" w:eastAsia="Times New Roman" w:hAnsiTheme="minorHAnsi" w:cstheme="minorHAnsi"/>
                <w:b w:val="0"/>
                <w:bCs w:val="0"/>
                <w:color w:val="0E101A"/>
                <w:szCs w:val="24"/>
                <w:lang w:eastAsia="en-GB"/>
              </w:rPr>
              <w:t>collaboration</w:t>
            </w:r>
            <w:r w:rsidR="00962530" w:rsidRPr="00C57E99">
              <w:rPr>
                <w:rFonts w:asciiTheme="minorHAnsi" w:eastAsia="Times New Roman" w:hAnsiTheme="minorHAnsi" w:cstheme="minorHAnsi"/>
                <w:b w:val="0"/>
                <w:bCs w:val="0"/>
                <w:color w:val="0E101A"/>
                <w:szCs w:val="24"/>
                <w:lang w:eastAsia="en-GB"/>
              </w:rPr>
              <w:t xml:space="preserve"> </w:t>
            </w:r>
            <w:r w:rsidR="00CF3C13" w:rsidRPr="00C57E99">
              <w:rPr>
                <w:rFonts w:asciiTheme="minorHAnsi" w:eastAsia="Times New Roman" w:hAnsiTheme="minorHAnsi" w:cstheme="minorHAnsi"/>
                <w:b w:val="0"/>
                <w:bCs w:val="0"/>
                <w:color w:val="0E101A"/>
                <w:szCs w:val="24"/>
                <w:lang w:eastAsia="en-GB"/>
              </w:rPr>
              <w:t xml:space="preserve">across decision-making bodies </w:t>
            </w:r>
            <w:r w:rsidR="00962530" w:rsidRPr="00C57E99">
              <w:rPr>
                <w:rFonts w:asciiTheme="minorHAnsi" w:eastAsia="Times New Roman" w:hAnsiTheme="minorHAnsi" w:cstheme="minorHAnsi"/>
                <w:b w:val="0"/>
                <w:bCs w:val="0"/>
                <w:color w:val="0E101A"/>
                <w:szCs w:val="24"/>
                <w:lang w:eastAsia="en-GB"/>
              </w:rPr>
              <w:t>and hands-on education and training</w:t>
            </w:r>
            <w:r w:rsidR="00CF3C13" w:rsidRPr="00C57E99">
              <w:rPr>
                <w:rFonts w:asciiTheme="minorHAnsi" w:eastAsia="Times New Roman" w:hAnsiTheme="minorHAnsi" w:cstheme="minorHAnsi"/>
                <w:b w:val="0"/>
                <w:bCs w:val="0"/>
                <w:color w:val="0E101A"/>
                <w:szCs w:val="24"/>
                <w:lang w:eastAsia="en-GB"/>
              </w:rPr>
              <w:t xml:space="preserve"> of prescribers, </w:t>
            </w:r>
            <w:r w:rsidR="00761560" w:rsidRPr="00C57E99">
              <w:rPr>
                <w:rFonts w:asciiTheme="minorHAnsi" w:eastAsia="Times New Roman" w:hAnsiTheme="minorHAnsi" w:cstheme="minorHAnsi"/>
                <w:b w:val="0"/>
                <w:bCs w:val="0"/>
                <w:color w:val="0E101A"/>
                <w:szCs w:val="24"/>
                <w:lang w:eastAsia="en-GB"/>
              </w:rPr>
              <w:t>public health professionals</w:t>
            </w:r>
            <w:r w:rsidR="00CC1011" w:rsidRPr="00C57E99">
              <w:rPr>
                <w:rFonts w:asciiTheme="minorHAnsi" w:eastAsia="Times New Roman" w:hAnsiTheme="minorHAnsi" w:cstheme="minorHAnsi"/>
                <w:b w:val="0"/>
                <w:bCs w:val="0"/>
                <w:color w:val="0E101A"/>
                <w:szCs w:val="24"/>
                <w:lang w:eastAsia="en-GB"/>
              </w:rPr>
              <w:t>,</w:t>
            </w:r>
            <w:r w:rsidR="00761560" w:rsidRPr="00C57E99">
              <w:rPr>
                <w:rFonts w:asciiTheme="minorHAnsi" w:eastAsia="Times New Roman" w:hAnsiTheme="minorHAnsi" w:cstheme="minorHAnsi"/>
                <w:b w:val="0"/>
                <w:bCs w:val="0"/>
                <w:color w:val="0E101A"/>
                <w:szCs w:val="24"/>
                <w:lang w:eastAsia="en-GB"/>
              </w:rPr>
              <w:t xml:space="preserve"> and </w:t>
            </w:r>
            <w:r w:rsidR="00CC1011" w:rsidRPr="00C57E99">
              <w:rPr>
                <w:rFonts w:asciiTheme="minorHAnsi" w:eastAsia="Times New Roman" w:hAnsiTheme="minorHAnsi" w:cstheme="minorHAnsi"/>
                <w:b w:val="0"/>
                <w:bCs w:val="0"/>
                <w:color w:val="0E101A"/>
                <w:szCs w:val="24"/>
                <w:lang w:eastAsia="en-GB"/>
              </w:rPr>
              <w:t xml:space="preserve">wider </w:t>
            </w:r>
            <w:r w:rsidR="00761560" w:rsidRPr="00C57E99">
              <w:rPr>
                <w:rFonts w:asciiTheme="minorHAnsi" w:eastAsia="Times New Roman" w:hAnsiTheme="minorHAnsi" w:cstheme="minorHAnsi"/>
                <w:b w:val="0"/>
                <w:bCs w:val="0"/>
                <w:color w:val="0E101A"/>
                <w:szCs w:val="24"/>
                <w:lang w:eastAsia="en-GB"/>
              </w:rPr>
              <w:t xml:space="preserve">patient groups. </w:t>
            </w:r>
          </w:p>
          <w:p w14:paraId="2B08BA65" w14:textId="76D951F1" w:rsidR="00D914E0" w:rsidRPr="00C57E99" w:rsidRDefault="00724141" w:rsidP="00B525B9">
            <w:pPr>
              <w:spacing w:line="360" w:lineRule="auto"/>
              <w:jc w:val="both"/>
              <w:rPr>
                <w:rFonts w:asciiTheme="minorHAnsi" w:eastAsia="Times New Roman" w:hAnsiTheme="minorHAnsi" w:cstheme="minorHAnsi"/>
                <w:color w:val="0E101A"/>
                <w:szCs w:val="24"/>
                <w:lang w:eastAsia="en-GB"/>
              </w:rPr>
            </w:pPr>
            <w:r w:rsidRPr="00C57E99">
              <w:rPr>
                <w:rFonts w:asciiTheme="minorHAnsi" w:eastAsia="Times New Roman" w:hAnsiTheme="minorHAnsi" w:cstheme="minorHAnsi"/>
                <w:b w:val="0"/>
                <w:bCs w:val="0"/>
                <w:color w:val="0E101A"/>
                <w:szCs w:val="24"/>
                <w:lang w:eastAsia="en-GB"/>
              </w:rPr>
              <w:t>I</w:t>
            </w:r>
            <w:r w:rsidR="00000056">
              <w:rPr>
                <w:rFonts w:asciiTheme="minorHAnsi" w:eastAsia="Times New Roman" w:hAnsiTheme="minorHAnsi" w:cstheme="minorHAnsi"/>
                <w:b w:val="0"/>
                <w:bCs w:val="0"/>
                <w:color w:val="0E101A"/>
                <w:szCs w:val="24"/>
                <w:lang w:eastAsia="en-GB"/>
              </w:rPr>
              <w:t>t offers the student a unique ability to engage with</w:t>
            </w:r>
            <w:r w:rsidR="00B525B9" w:rsidRPr="00C57E99">
              <w:rPr>
                <w:rFonts w:asciiTheme="minorHAnsi" w:eastAsia="Times New Roman" w:hAnsiTheme="minorHAnsi" w:cstheme="minorHAnsi"/>
                <w:b w:val="0"/>
                <w:bCs w:val="0"/>
                <w:color w:val="0E101A"/>
                <w:szCs w:val="24"/>
                <w:lang w:eastAsia="en-GB"/>
              </w:rPr>
              <w:t xml:space="preserve"> </w:t>
            </w:r>
            <w:r w:rsidR="00D57ED7" w:rsidRPr="00C57E99">
              <w:rPr>
                <w:rFonts w:asciiTheme="minorHAnsi" w:eastAsia="Times New Roman" w:hAnsiTheme="minorHAnsi" w:cstheme="minorHAnsi"/>
                <w:b w:val="0"/>
                <w:bCs w:val="0"/>
                <w:color w:val="0E101A"/>
                <w:szCs w:val="24"/>
                <w:lang w:eastAsia="en-GB"/>
              </w:rPr>
              <w:t xml:space="preserve">health </w:t>
            </w:r>
            <w:r w:rsidR="00B525B9" w:rsidRPr="00C57E99">
              <w:rPr>
                <w:rFonts w:asciiTheme="minorHAnsi" w:eastAsia="Times New Roman" w:hAnsiTheme="minorHAnsi" w:cstheme="minorHAnsi"/>
                <w:b w:val="0"/>
                <w:bCs w:val="0"/>
                <w:color w:val="0E101A"/>
                <w:szCs w:val="24"/>
                <w:lang w:eastAsia="en-GB"/>
              </w:rPr>
              <w:t>experts</w:t>
            </w:r>
            <w:r w:rsidR="00D57ED7" w:rsidRPr="00C57E99">
              <w:rPr>
                <w:rFonts w:asciiTheme="minorHAnsi" w:eastAsia="Times New Roman" w:hAnsiTheme="minorHAnsi" w:cstheme="minorHAnsi"/>
                <w:b w:val="0"/>
                <w:bCs w:val="0"/>
                <w:color w:val="0E101A"/>
                <w:szCs w:val="24"/>
                <w:lang w:eastAsia="en-GB"/>
              </w:rPr>
              <w:t xml:space="preserve"> </w:t>
            </w:r>
            <w:r w:rsidR="00D12D29" w:rsidRPr="00C57E99">
              <w:rPr>
                <w:rFonts w:asciiTheme="minorHAnsi" w:eastAsia="Times New Roman" w:hAnsiTheme="minorHAnsi" w:cstheme="minorHAnsi"/>
                <w:b w:val="0"/>
                <w:bCs w:val="0"/>
                <w:color w:val="0E101A"/>
                <w:szCs w:val="24"/>
                <w:lang w:eastAsia="en-GB"/>
              </w:rPr>
              <w:t xml:space="preserve">and </w:t>
            </w:r>
            <w:r w:rsidR="00B525B9" w:rsidRPr="00C57E99">
              <w:rPr>
                <w:rFonts w:asciiTheme="minorHAnsi" w:eastAsia="Times New Roman" w:hAnsiTheme="minorHAnsi" w:cstheme="minorHAnsi"/>
                <w:b w:val="0"/>
                <w:bCs w:val="0"/>
                <w:color w:val="0E101A"/>
                <w:szCs w:val="24"/>
                <w:lang w:eastAsia="en-GB"/>
              </w:rPr>
              <w:t>ministry actors in Belize and the wider Caribbean</w:t>
            </w:r>
            <w:r w:rsidR="00000056">
              <w:rPr>
                <w:rFonts w:asciiTheme="minorHAnsi" w:eastAsia="Times New Roman" w:hAnsiTheme="minorHAnsi" w:cstheme="minorHAnsi"/>
                <w:b w:val="0"/>
                <w:bCs w:val="0"/>
                <w:color w:val="0E101A"/>
                <w:szCs w:val="24"/>
                <w:lang w:eastAsia="en-GB"/>
              </w:rPr>
              <w:t xml:space="preserve"> within</w:t>
            </w:r>
            <w:r w:rsidR="00000056" w:rsidRPr="00C57E99">
              <w:rPr>
                <w:rFonts w:asciiTheme="minorHAnsi" w:eastAsia="Times New Roman" w:hAnsiTheme="minorHAnsi" w:cstheme="minorHAnsi"/>
                <w:b w:val="0"/>
                <w:bCs w:val="0"/>
                <w:color w:val="0E101A"/>
                <w:szCs w:val="24"/>
                <w:lang w:eastAsia="en-GB"/>
              </w:rPr>
              <w:t xml:space="preserve"> Pan American Health Organization (PAHO/WHO)</w:t>
            </w:r>
            <w:r w:rsidR="00000056">
              <w:rPr>
                <w:rFonts w:asciiTheme="minorHAnsi" w:eastAsia="Times New Roman" w:hAnsiTheme="minorHAnsi" w:cstheme="minorHAnsi"/>
                <w:b w:val="0"/>
                <w:bCs w:val="0"/>
                <w:color w:val="0E101A"/>
                <w:szCs w:val="24"/>
                <w:lang w:eastAsia="en-GB"/>
              </w:rPr>
              <w:t xml:space="preserve"> network</w:t>
            </w:r>
            <w:r w:rsidR="00B525B9" w:rsidRPr="00C57E99">
              <w:rPr>
                <w:rFonts w:asciiTheme="minorHAnsi" w:eastAsia="Times New Roman" w:hAnsiTheme="minorHAnsi" w:cstheme="minorHAnsi"/>
                <w:b w:val="0"/>
                <w:bCs w:val="0"/>
                <w:color w:val="0E101A"/>
                <w:szCs w:val="24"/>
                <w:lang w:eastAsia="en-GB"/>
              </w:rPr>
              <w:t xml:space="preserve"> </w:t>
            </w:r>
            <w:r w:rsidR="00000056">
              <w:rPr>
                <w:rFonts w:asciiTheme="minorHAnsi" w:eastAsia="Times New Roman" w:hAnsiTheme="minorHAnsi" w:cstheme="minorHAnsi"/>
                <w:b w:val="0"/>
                <w:bCs w:val="0"/>
                <w:color w:val="0E101A"/>
                <w:szCs w:val="24"/>
                <w:lang w:eastAsia="en-GB"/>
              </w:rPr>
              <w:t xml:space="preserve">and learn from </w:t>
            </w:r>
            <w:r w:rsidR="00B525B9" w:rsidRPr="00C57E99">
              <w:rPr>
                <w:rFonts w:asciiTheme="minorHAnsi" w:eastAsia="Times New Roman" w:hAnsiTheme="minorHAnsi" w:cstheme="minorHAnsi"/>
                <w:b w:val="0"/>
                <w:bCs w:val="0"/>
                <w:color w:val="0E101A"/>
                <w:szCs w:val="24"/>
                <w:lang w:eastAsia="en-GB"/>
              </w:rPr>
              <w:t xml:space="preserve">hypothesis-generating </w:t>
            </w:r>
            <w:r w:rsidR="00000056">
              <w:rPr>
                <w:rFonts w:asciiTheme="minorHAnsi" w:eastAsia="Times New Roman" w:hAnsiTheme="minorHAnsi" w:cstheme="minorHAnsi"/>
                <w:b w:val="0"/>
                <w:bCs w:val="0"/>
                <w:color w:val="0E101A"/>
                <w:szCs w:val="24"/>
                <w:lang w:eastAsia="en-GB"/>
              </w:rPr>
              <w:t>research conducted over the past 5 years in this region</w:t>
            </w:r>
            <w:r w:rsidR="00B525B9" w:rsidRPr="00C57E99">
              <w:rPr>
                <w:rFonts w:asciiTheme="minorHAnsi" w:eastAsia="Times New Roman" w:hAnsiTheme="minorHAnsi" w:cstheme="minorHAnsi"/>
                <w:b w:val="0"/>
                <w:bCs w:val="0"/>
                <w:color w:val="0E101A"/>
                <w:szCs w:val="24"/>
                <w:lang w:eastAsia="en-GB"/>
              </w:rPr>
              <w:t xml:space="preserve">. </w:t>
            </w:r>
            <w:r w:rsidR="00000056">
              <w:rPr>
                <w:rFonts w:asciiTheme="minorHAnsi" w:eastAsia="Times New Roman" w:hAnsiTheme="minorHAnsi" w:cstheme="minorHAnsi"/>
                <w:b w:val="0"/>
                <w:bCs w:val="0"/>
                <w:color w:val="0E101A"/>
                <w:szCs w:val="24"/>
                <w:lang w:eastAsia="en-GB"/>
              </w:rPr>
              <w:t>A</w:t>
            </w:r>
            <w:r w:rsidR="00000056" w:rsidRPr="00C57E99">
              <w:rPr>
                <w:rFonts w:asciiTheme="minorHAnsi" w:eastAsia="Times New Roman" w:hAnsiTheme="minorHAnsi" w:cstheme="minorHAnsi"/>
                <w:b w:val="0"/>
                <w:bCs w:val="0"/>
                <w:color w:val="0E101A"/>
                <w:szCs w:val="24"/>
                <w:lang w:eastAsia="en-GB"/>
              </w:rPr>
              <w:t>ntimicrobial resistance (AMR) and antimicrobial use (AMU) surveillance is a research priority in Belize and the wider Caribbean as of 2019, with growing external support as of 2021 through the Antimicrobial Resistance module of the Global Action in Healthcare Network (GAIHN-AR).</w:t>
            </w:r>
            <w:r w:rsidR="00107E59">
              <w:rPr>
                <w:rFonts w:asciiTheme="minorHAnsi" w:eastAsia="Times New Roman" w:hAnsiTheme="minorHAnsi" w:cstheme="minorHAnsi"/>
                <w:color w:val="0E101A"/>
                <w:szCs w:val="24"/>
                <w:lang w:eastAsia="en-GB"/>
              </w:rPr>
              <w:fldChar w:fldCharType="begin" w:fldLock="1"/>
            </w:r>
            <w:r w:rsidR="00107E59">
              <w:rPr>
                <w:rFonts w:asciiTheme="minorHAnsi" w:eastAsia="Times New Roman" w:hAnsiTheme="minorHAnsi" w:cstheme="minorHAnsi"/>
                <w:b w:val="0"/>
                <w:bCs w:val="0"/>
                <w:color w:val="0E101A"/>
                <w:szCs w:val="24"/>
                <w:lang w:eastAsia="en-GB"/>
              </w:rPr>
              <w:instrText>ADDIN CSL_CITATION {"citationItems":[{"id":"ITEM-1","itemData":{"URL":"https://www.cdc.gov/infectioncontrol/global/GAIHN-AR.html","accessed":{"date-parts":[["2022","9","8"]]},"id":"ITEM-1","issued":{"date-parts":[["0"]]},"title":"GAIHN AR | Global Safe Healthcare | Infection Control | CDC","type":"webpage"},"uris":["http://www.mendeley.com/documents/?uuid=4bc0c4cd-5a2d-3264-bf2e-f179adbd41b2"]}],"mendeley":{"formattedCitation":"[1]","plainTextFormattedCitation":"[1]","previouslyFormattedCitation":"[1]"},"properties":{"noteIndex":0},"schema":"https://github.com/citation-style-language/schema/raw/master/csl-citation.json"}</w:instrText>
            </w:r>
            <w:r w:rsidR="00107E59">
              <w:rPr>
                <w:rFonts w:asciiTheme="minorHAnsi" w:eastAsia="Times New Roman" w:hAnsiTheme="minorHAnsi" w:cstheme="minorHAnsi"/>
                <w:color w:val="0E101A"/>
                <w:szCs w:val="24"/>
                <w:lang w:eastAsia="en-GB"/>
              </w:rPr>
              <w:fldChar w:fldCharType="separate"/>
            </w:r>
            <w:r w:rsidR="00107E59" w:rsidRPr="00107E59">
              <w:rPr>
                <w:rFonts w:asciiTheme="minorHAnsi" w:eastAsia="Times New Roman" w:hAnsiTheme="minorHAnsi" w:cstheme="minorHAnsi"/>
                <w:b w:val="0"/>
                <w:bCs w:val="0"/>
                <w:noProof/>
                <w:color w:val="0E101A"/>
                <w:szCs w:val="24"/>
                <w:lang w:eastAsia="en-GB"/>
              </w:rPr>
              <w:t>[1]</w:t>
            </w:r>
            <w:r w:rsidR="00107E59">
              <w:rPr>
                <w:rFonts w:asciiTheme="minorHAnsi" w:eastAsia="Times New Roman" w:hAnsiTheme="minorHAnsi" w:cstheme="minorHAnsi"/>
                <w:color w:val="0E101A"/>
                <w:szCs w:val="24"/>
                <w:lang w:eastAsia="en-GB"/>
              </w:rPr>
              <w:fldChar w:fldCharType="end"/>
            </w:r>
          </w:p>
          <w:p w14:paraId="17F8A19A" w14:textId="66F5B180" w:rsidR="00000056" w:rsidRPr="00000056" w:rsidRDefault="00000056" w:rsidP="00000056">
            <w:pPr>
              <w:spacing w:line="360" w:lineRule="auto"/>
              <w:jc w:val="both"/>
              <w:rPr>
                <w:rFonts w:asciiTheme="minorHAnsi" w:eastAsia="Times New Roman" w:hAnsiTheme="minorHAnsi" w:cstheme="minorHAnsi"/>
                <w:color w:val="0E101A"/>
                <w:szCs w:val="24"/>
                <w:lang w:eastAsia="en-GB"/>
              </w:rPr>
            </w:pPr>
          </w:p>
        </w:tc>
      </w:tr>
      <w:tr w:rsidR="002C791D" w:rsidRPr="00C57E99"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FFF39B8" w14:textId="25738E72" w:rsidR="00B525B9" w:rsidRPr="00C57E99" w:rsidRDefault="00C57E99"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hAnsiTheme="minorHAnsi" w:cstheme="minorHAnsi"/>
                <w:color w:val="2F5496" w:themeColor="accent1" w:themeShade="BF"/>
                <w:sz w:val="28"/>
                <w:szCs w:val="24"/>
              </w:rPr>
              <w:t>Project description:</w:t>
            </w:r>
          </w:p>
          <w:p w14:paraId="0F2C29DC" w14:textId="77777777" w:rsidR="00C57E99" w:rsidRPr="00C57E99" w:rsidRDefault="00C57E99" w:rsidP="00B525B9">
            <w:pPr>
              <w:spacing w:line="360" w:lineRule="auto"/>
              <w:jc w:val="both"/>
              <w:rPr>
                <w:rFonts w:asciiTheme="minorHAnsi" w:eastAsia="Times New Roman" w:hAnsiTheme="minorHAnsi" w:cstheme="minorHAnsi"/>
                <w:b w:val="0"/>
                <w:bCs w:val="0"/>
                <w:color w:val="0E101A"/>
                <w:szCs w:val="24"/>
                <w:lang w:eastAsia="en-GB"/>
              </w:rPr>
            </w:pPr>
          </w:p>
          <w:p w14:paraId="5D55625A" w14:textId="5D2C7FB5" w:rsidR="00B525B9" w:rsidRPr="00C57E99" w:rsidRDefault="00B525B9"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color w:val="0E101A"/>
                <w:szCs w:val="24"/>
                <w:lang w:eastAsia="en-GB"/>
              </w:rPr>
              <w:t>Background:</w:t>
            </w:r>
          </w:p>
          <w:p w14:paraId="49BB3B3B" w14:textId="791AE2E3" w:rsidR="00AA2FC6" w:rsidRPr="00C57E99" w:rsidRDefault="00B525B9" w:rsidP="00AA2FC6">
            <w:pPr>
              <w:spacing w:line="360" w:lineRule="auto"/>
              <w:jc w:val="both"/>
              <w:rPr>
                <w:rFonts w:asciiTheme="minorHAnsi" w:eastAsia="Times New Roman" w:hAnsiTheme="minorHAnsi" w:cstheme="minorHAnsi"/>
                <w:color w:val="0E101A"/>
                <w:szCs w:val="24"/>
                <w:lang w:eastAsia="en-GB"/>
              </w:rPr>
            </w:pPr>
            <w:r w:rsidRPr="00C57E99">
              <w:rPr>
                <w:rFonts w:asciiTheme="minorHAnsi" w:eastAsia="Times New Roman" w:hAnsiTheme="minorHAnsi" w:cstheme="minorHAnsi"/>
                <w:b w:val="0"/>
                <w:bCs w:val="0"/>
                <w:color w:val="0E101A"/>
                <w:szCs w:val="24"/>
                <w:lang w:eastAsia="en-GB"/>
              </w:rPr>
              <w:t xml:space="preserve">AMR disproportionately affects low-and-middle-income countries and is a growing global threat to life. Of the 33 countries in Latin America and the Caribbean (LAC), 26 (79%) are LMICs (World Bank, 2018). </w:t>
            </w:r>
            <w:r w:rsidR="00724141" w:rsidRPr="00C57E99">
              <w:rPr>
                <w:rFonts w:asciiTheme="minorHAnsi" w:eastAsia="Times New Roman" w:hAnsiTheme="minorHAnsi" w:cstheme="minorHAnsi"/>
                <w:b w:val="0"/>
                <w:bCs w:val="0"/>
                <w:color w:val="0E101A"/>
                <w:szCs w:val="24"/>
                <w:lang w:eastAsia="en-GB"/>
              </w:rPr>
              <w:t xml:space="preserve"> Although </w:t>
            </w:r>
            <w:r w:rsidR="00131119" w:rsidRPr="00C57E99">
              <w:rPr>
                <w:rFonts w:asciiTheme="minorHAnsi" w:eastAsia="Times New Roman" w:hAnsiTheme="minorHAnsi" w:cstheme="minorHAnsi"/>
                <w:b w:val="0"/>
                <w:bCs w:val="0"/>
                <w:color w:val="0E101A"/>
                <w:szCs w:val="24"/>
                <w:lang w:eastAsia="en-GB"/>
              </w:rPr>
              <w:t>healthcare-associated infections</w:t>
            </w:r>
            <w:r w:rsidR="00676ACB" w:rsidRPr="00C57E99">
              <w:rPr>
                <w:rFonts w:asciiTheme="minorHAnsi" w:eastAsia="Times New Roman" w:hAnsiTheme="minorHAnsi" w:cstheme="minorHAnsi"/>
                <w:b w:val="0"/>
                <w:bCs w:val="0"/>
                <w:color w:val="0E101A"/>
                <w:szCs w:val="24"/>
                <w:lang w:eastAsia="en-GB"/>
              </w:rPr>
              <w:t xml:space="preserve"> (HAIs) represent </w:t>
            </w:r>
            <w:r w:rsidR="00724141" w:rsidRPr="00C57E99">
              <w:rPr>
                <w:rFonts w:asciiTheme="minorHAnsi" w:eastAsia="Times New Roman" w:hAnsiTheme="minorHAnsi" w:cstheme="minorHAnsi"/>
                <w:b w:val="0"/>
                <w:bCs w:val="0"/>
                <w:color w:val="0E101A"/>
                <w:szCs w:val="24"/>
                <w:lang w:eastAsia="en-GB"/>
              </w:rPr>
              <w:t xml:space="preserve">the most frequent adverse event in healthcare, </w:t>
            </w:r>
            <w:r w:rsidR="00131119" w:rsidRPr="00C57E99">
              <w:rPr>
                <w:rFonts w:asciiTheme="minorHAnsi" w:eastAsia="Times New Roman" w:hAnsiTheme="minorHAnsi" w:cstheme="minorHAnsi"/>
                <w:b w:val="0"/>
                <w:bCs w:val="0"/>
                <w:color w:val="0E101A"/>
                <w:szCs w:val="24"/>
                <w:lang w:eastAsia="en-GB"/>
              </w:rPr>
              <w:t>their</w:t>
            </w:r>
            <w:r w:rsidR="00676ACB" w:rsidRPr="00C57E99">
              <w:rPr>
                <w:rFonts w:asciiTheme="minorHAnsi" w:eastAsia="Times New Roman" w:hAnsiTheme="minorHAnsi" w:cstheme="minorHAnsi"/>
                <w:b w:val="0"/>
                <w:bCs w:val="0"/>
                <w:color w:val="0E101A"/>
                <w:szCs w:val="24"/>
                <w:lang w:eastAsia="en-GB"/>
              </w:rPr>
              <w:t xml:space="preserve"> health and socioeconomic</w:t>
            </w:r>
            <w:r w:rsidR="00724141" w:rsidRPr="00C57E99">
              <w:rPr>
                <w:rFonts w:asciiTheme="minorHAnsi" w:eastAsia="Times New Roman" w:hAnsiTheme="minorHAnsi" w:cstheme="minorHAnsi"/>
                <w:b w:val="0"/>
                <w:bCs w:val="0"/>
                <w:color w:val="0E101A"/>
                <w:szCs w:val="24"/>
                <w:lang w:eastAsia="en-GB"/>
              </w:rPr>
              <w:t xml:space="preserve"> burden in </w:t>
            </w:r>
            <w:r w:rsidR="00131119" w:rsidRPr="00C57E99">
              <w:rPr>
                <w:rFonts w:asciiTheme="minorHAnsi" w:eastAsia="Times New Roman" w:hAnsiTheme="minorHAnsi" w:cstheme="minorHAnsi"/>
                <w:b w:val="0"/>
                <w:bCs w:val="0"/>
                <w:color w:val="0E101A"/>
                <w:szCs w:val="24"/>
                <w:lang w:eastAsia="en-GB"/>
              </w:rPr>
              <w:t xml:space="preserve">the </w:t>
            </w:r>
            <w:r w:rsidR="00131119" w:rsidRPr="00C57E99">
              <w:rPr>
                <w:rFonts w:asciiTheme="minorHAnsi" w:eastAsia="Times New Roman" w:hAnsiTheme="minorHAnsi" w:cstheme="minorHAnsi"/>
                <w:b w:val="0"/>
                <w:bCs w:val="0"/>
                <w:color w:val="0E101A"/>
                <w:szCs w:val="24"/>
                <w:lang w:eastAsia="en-GB"/>
              </w:rPr>
              <w:lastRenderedPageBreak/>
              <w:t xml:space="preserve">LAC region </w:t>
            </w:r>
            <w:r w:rsidR="00724141" w:rsidRPr="00C57E99">
              <w:rPr>
                <w:rFonts w:asciiTheme="minorHAnsi" w:eastAsia="Times New Roman" w:hAnsiTheme="minorHAnsi" w:cstheme="minorHAnsi"/>
                <w:b w:val="0"/>
                <w:bCs w:val="0"/>
                <w:color w:val="0E101A"/>
                <w:szCs w:val="24"/>
                <w:lang w:eastAsia="en-GB"/>
              </w:rPr>
              <w:t>is unknown.</w:t>
            </w:r>
            <w:r w:rsidR="009B7CA7" w:rsidRPr="00C57E99">
              <w:rPr>
                <w:rFonts w:asciiTheme="minorHAnsi" w:eastAsia="Times New Roman" w:hAnsiTheme="minorHAnsi" w:cstheme="minorHAnsi"/>
                <w:b w:val="0"/>
                <w:bCs w:val="0"/>
                <w:color w:val="0E101A"/>
                <w:szCs w:val="24"/>
                <w:lang w:eastAsia="en-GB"/>
              </w:rPr>
              <w:t xml:space="preserve"> What is known</w:t>
            </w:r>
            <w:r w:rsidR="00C57E99">
              <w:rPr>
                <w:rFonts w:asciiTheme="minorHAnsi" w:eastAsia="Times New Roman" w:hAnsiTheme="minorHAnsi" w:cstheme="minorHAnsi"/>
                <w:b w:val="0"/>
                <w:bCs w:val="0"/>
                <w:color w:val="0E101A"/>
                <w:szCs w:val="24"/>
                <w:lang w:eastAsia="en-GB"/>
              </w:rPr>
              <w:t>,</w:t>
            </w:r>
            <w:r w:rsidR="009B7CA7" w:rsidRPr="00C57E99">
              <w:rPr>
                <w:rFonts w:asciiTheme="minorHAnsi" w:eastAsia="Times New Roman" w:hAnsiTheme="minorHAnsi" w:cstheme="minorHAnsi"/>
                <w:b w:val="0"/>
                <w:bCs w:val="0"/>
                <w:color w:val="0E101A"/>
                <w:szCs w:val="24"/>
                <w:lang w:eastAsia="en-GB"/>
              </w:rPr>
              <w:t xml:space="preserve"> is that LAC has recorded overall increases in multidrug- and extensively drug-resistant organisms (MDR/XDR), particularly carbapenem-resistant organisms (CROs), which </w:t>
            </w:r>
            <w:r w:rsidR="00676ACB" w:rsidRPr="00C57E99">
              <w:rPr>
                <w:rFonts w:asciiTheme="minorHAnsi" w:eastAsia="Times New Roman" w:hAnsiTheme="minorHAnsi" w:cstheme="minorHAnsi"/>
                <w:b w:val="0"/>
                <w:bCs w:val="0"/>
                <w:color w:val="0E101A"/>
                <w:szCs w:val="24"/>
                <w:lang w:eastAsia="en-GB"/>
              </w:rPr>
              <w:t>have</w:t>
            </w:r>
            <w:r w:rsidR="009B7CA7" w:rsidRPr="00C57E99">
              <w:rPr>
                <w:rFonts w:asciiTheme="minorHAnsi" w:eastAsia="Times New Roman" w:hAnsiTheme="minorHAnsi" w:cstheme="minorHAnsi"/>
                <w:b w:val="0"/>
                <w:bCs w:val="0"/>
                <w:color w:val="0E101A"/>
                <w:szCs w:val="24"/>
                <w:lang w:eastAsia="en-GB"/>
              </w:rPr>
              <w:t xml:space="preserve"> been associated with the COVID-19 pandemic. </w:t>
            </w:r>
            <w:r w:rsidR="00107E59">
              <w:rPr>
                <w:rFonts w:asciiTheme="minorHAnsi" w:eastAsia="Times New Roman" w:hAnsiTheme="minorHAnsi" w:cstheme="minorHAnsi"/>
                <w:color w:val="0E101A"/>
                <w:szCs w:val="24"/>
                <w:lang w:eastAsia="en-GB"/>
              </w:rPr>
              <w:fldChar w:fldCharType="begin" w:fldLock="1"/>
            </w:r>
            <w:r w:rsidR="00107E59">
              <w:rPr>
                <w:rFonts w:asciiTheme="minorHAnsi" w:eastAsia="Times New Roman" w:hAnsiTheme="minorHAnsi" w:cstheme="minorHAnsi"/>
                <w:b w:val="0"/>
                <w:bCs w:val="0"/>
                <w:color w:val="0E101A"/>
                <w:szCs w:val="24"/>
                <w:lang w:eastAsia="en-GB"/>
              </w:rPr>
              <w:instrText>ADDIN CSL_CITATION {"citationItems":[{"id":"ITEM-1","itemData":{"DOI":"10.1080/14787210.2020.1813023","ISSN":"17448336","PMID":"32813566","abstract":"Introduction: Carbapenemases are β-lactamases able to hydrolyze a wide range of β-lactam antibiotics, including carbapenems. Carbapenemase production in Enterobacterales, Pseudomonas aeruginosa, and Acinetobacter spp., with and without the co-expression of other β-lactamases is a serious public health threat. Carbapenemases belong to three main classes according to the Ambler classification: class A, class B, and class D. Areas covered: Carbapenemase-bearing pathogens are endemic in Latin America. In this review, we update the status of carbapenemases in Latin America and the Caribbean. Expert opinion: Understanding the current epidemiology of carbapenemases in Latin America and the Caribbean is of critical importance to improve infection control policies limiting the dissemination of multi-drug-resistant pathogens and in implementing appropriate antimicrobial therapy.","author":[{"dropping-particle":"","family":"García-Betancur","given":"Juan Carlos","non-dropping-particle":"","parse-names":false,"suffix":""},{"dropping-particle":"","family":"Appel","given":"Tobias Manuel","non-dropping-particle":"","parse-names":false,"suffix":""},{"dropping-particle":"","family":"Esparza","given":"German","non-dropping-particle":"","parse-names":false,"suffix":""},{"dropping-particle":"","family":"Gales","given":"Ana C.","non-dropping-particle":"","parse-names":false,"suffix":""},{"dropping-particle":"","family":"Levy-Hara","given":"Gabriel","non-dropping-particle":"","parse-names":false,"suffix":""},{"dropping-particle":"","family":"Cornistein","given":"Wanda","non-dropping-particle":"","parse-names":false,"suffix":""},{"dropping-particle":"","family":"Vega","given":"Silvio","non-dropping-particle":"","parse-names":false,"suffix":""},{"dropping-particle":"","family":"Nuñez","given":"Duilio","non-dropping-particle":"","parse-names":false,"suffix":""},{"dropping-particle":"","family":"Cuellar","given":"Luis","non-dropping-particle":"","parse-names":false,"suffix":""},{"dropping-particle":"","family":"Bavestrello","given":"Luis","non-dropping-particle":"","parse-names":false,"suffix":""},{"dropping-particle":"","family":"Castañeda-Méndez","given":"Paulo F.","non-dropping-particle":"","parse-names":false,"suffix":""},{"dropping-particle":"","family":"Villalobos-Vindas","given":"Juan M.","non-dropping-particle":"","parse-names":false,"suffix":""},{"dropping-particle":"","family":"Villegas","given":"María Virginia","non-dropping-particle":"","parse-names":false,"suffix":""}],"container-title":"Expert Review of Anti-Infective Therapy","id":"ITEM-1","issue":"2","issued":{"date-parts":[["2021"]]},"page":"197-213","publisher":"Taylor and Francis Ltd.","title":"Update on the epidemiology of carbapenemases in Latin America and the Caribbean","type":"article","volume":"19"},"uris":["http://www.mendeley.com/documents/?uuid=0ac8a7ac-e97c-356f-8afb-39bc38f4b12a"]}],"mendeley":{"formattedCitation":"[3]","plainTextFormattedCitation":"[3]","previouslyFormattedCitation":"[3]"},"properties":{"noteIndex":0},"schema":"https://github.com/citation-style-language/schema/raw/master/csl-citation.json"}</w:instrText>
            </w:r>
            <w:r w:rsidR="00107E59">
              <w:rPr>
                <w:rFonts w:asciiTheme="minorHAnsi" w:eastAsia="Times New Roman" w:hAnsiTheme="minorHAnsi" w:cstheme="minorHAnsi"/>
                <w:color w:val="0E101A"/>
                <w:szCs w:val="24"/>
                <w:lang w:eastAsia="en-GB"/>
              </w:rPr>
              <w:fldChar w:fldCharType="separate"/>
            </w:r>
            <w:r w:rsidR="00107E59" w:rsidRPr="00107E59">
              <w:rPr>
                <w:rFonts w:asciiTheme="minorHAnsi" w:eastAsia="Times New Roman" w:hAnsiTheme="minorHAnsi" w:cstheme="minorHAnsi"/>
                <w:b w:val="0"/>
                <w:bCs w:val="0"/>
                <w:noProof/>
                <w:color w:val="0E101A"/>
                <w:szCs w:val="24"/>
                <w:lang w:eastAsia="en-GB"/>
              </w:rPr>
              <w:t>[3]</w:t>
            </w:r>
            <w:r w:rsidR="00107E59">
              <w:rPr>
                <w:rFonts w:asciiTheme="minorHAnsi" w:eastAsia="Times New Roman" w:hAnsiTheme="minorHAnsi" w:cstheme="minorHAnsi"/>
                <w:color w:val="0E101A"/>
                <w:szCs w:val="24"/>
                <w:lang w:eastAsia="en-GB"/>
              </w:rPr>
              <w:fldChar w:fldCharType="end"/>
            </w:r>
          </w:p>
          <w:p w14:paraId="60CDE6EE" w14:textId="2F6D5370" w:rsidR="00DC01A8" w:rsidRPr="00107E59" w:rsidRDefault="00044D1E" w:rsidP="00DC01A8">
            <w:pPr>
              <w:spacing w:line="360" w:lineRule="auto"/>
              <w:jc w:val="both"/>
              <w:rPr>
                <w:rFonts w:asciiTheme="minorHAnsi" w:eastAsia="Times New Roman" w:hAnsiTheme="minorHAnsi" w:cstheme="minorHAnsi"/>
                <w:color w:val="0E101A"/>
                <w:szCs w:val="24"/>
                <w:lang w:eastAsia="en-GB"/>
              </w:rPr>
            </w:pPr>
            <w:r w:rsidRPr="00C57E99">
              <w:rPr>
                <w:rFonts w:asciiTheme="minorHAnsi" w:eastAsia="Times New Roman" w:hAnsiTheme="minorHAnsi" w:cstheme="minorHAnsi"/>
                <w:b w:val="0"/>
                <w:bCs w:val="0"/>
                <w:color w:val="0E101A"/>
                <w:szCs w:val="24"/>
                <w:lang w:eastAsia="en-GB"/>
              </w:rPr>
              <w:t>In 2021, Belize, like its regional counterparts</w:t>
            </w:r>
            <w:r w:rsidR="00C57E99" w:rsidRPr="00C57E99">
              <w:rPr>
                <w:rFonts w:asciiTheme="minorHAnsi" w:eastAsia="Times New Roman" w:hAnsiTheme="minorHAnsi" w:cstheme="minorHAnsi"/>
                <w:b w:val="0"/>
                <w:bCs w:val="0"/>
                <w:color w:val="0E101A"/>
                <w:szCs w:val="24"/>
                <w:lang w:eastAsia="en-GB"/>
              </w:rPr>
              <w:t xml:space="preserve"> </w:t>
            </w:r>
            <w:r w:rsidRPr="00C57E99">
              <w:rPr>
                <w:rFonts w:asciiTheme="minorHAnsi" w:eastAsia="Times New Roman" w:hAnsiTheme="minorHAnsi" w:cstheme="minorHAnsi"/>
                <w:b w:val="0"/>
                <w:bCs w:val="0"/>
                <w:color w:val="0E101A"/>
                <w:szCs w:val="24"/>
                <w:lang w:eastAsia="en-GB"/>
              </w:rPr>
              <w:t xml:space="preserve">detected </w:t>
            </w:r>
            <w:proofErr w:type="spellStart"/>
            <w:r w:rsidR="009B7CA7" w:rsidRPr="00C57E99">
              <w:rPr>
                <w:rFonts w:asciiTheme="minorHAnsi" w:eastAsia="Times New Roman" w:hAnsiTheme="minorHAnsi" w:cstheme="minorHAnsi"/>
                <w:b w:val="0"/>
                <w:bCs w:val="0"/>
                <w:color w:val="0E101A"/>
                <w:szCs w:val="24"/>
                <w:lang w:eastAsia="en-GB"/>
              </w:rPr>
              <w:t>carbapenemase</w:t>
            </w:r>
            <w:proofErr w:type="spellEnd"/>
            <w:r w:rsidRPr="00C57E99">
              <w:rPr>
                <w:rFonts w:asciiTheme="minorHAnsi" w:eastAsia="Times New Roman" w:hAnsiTheme="minorHAnsi" w:cstheme="minorHAnsi"/>
                <w:b w:val="0"/>
                <w:bCs w:val="0"/>
                <w:color w:val="0E101A"/>
                <w:szCs w:val="24"/>
                <w:lang w:eastAsia="en-GB"/>
              </w:rPr>
              <w:t>-producing CRO in isolates in its national referral hospital for the first time, highlighting the need to accelerate action to monitor and control AMR</w:t>
            </w:r>
            <w:r w:rsidR="00676ACB" w:rsidRPr="00C57E99">
              <w:rPr>
                <w:rFonts w:asciiTheme="minorHAnsi" w:eastAsia="Times New Roman" w:hAnsiTheme="minorHAnsi" w:cstheme="minorHAnsi"/>
                <w:b w:val="0"/>
                <w:bCs w:val="0"/>
                <w:color w:val="0E101A"/>
                <w:szCs w:val="24"/>
                <w:lang w:eastAsia="en-GB"/>
              </w:rPr>
              <w:t>.</w:t>
            </w:r>
            <w:r w:rsidRPr="00C57E99">
              <w:rPr>
                <w:rFonts w:asciiTheme="minorHAnsi" w:eastAsia="Times New Roman" w:hAnsiTheme="minorHAnsi" w:cstheme="minorHAnsi"/>
                <w:b w:val="0"/>
                <w:bCs w:val="0"/>
                <w:color w:val="0E101A"/>
                <w:szCs w:val="24"/>
                <w:lang w:eastAsia="en-GB"/>
              </w:rPr>
              <w:t xml:space="preserve"> </w:t>
            </w:r>
            <w:r w:rsidR="00323F5C" w:rsidRPr="00C57E99">
              <w:rPr>
                <w:rFonts w:asciiTheme="minorHAnsi" w:eastAsia="Times New Roman" w:hAnsiTheme="minorHAnsi" w:cstheme="minorHAnsi"/>
                <w:b w:val="0"/>
                <w:bCs w:val="0"/>
                <w:color w:val="0E101A"/>
                <w:szCs w:val="24"/>
                <w:lang w:eastAsia="en-GB"/>
              </w:rPr>
              <w:t xml:space="preserve">Therefore, this </w:t>
            </w:r>
            <w:r w:rsidR="00C57E99">
              <w:rPr>
                <w:rFonts w:asciiTheme="minorHAnsi" w:eastAsia="Times New Roman" w:hAnsiTheme="minorHAnsi" w:cstheme="minorHAnsi"/>
                <w:b w:val="0"/>
                <w:bCs w:val="0"/>
                <w:color w:val="0E101A"/>
                <w:szCs w:val="24"/>
                <w:lang w:eastAsia="en-GB"/>
              </w:rPr>
              <w:t>research would serve as a</w:t>
            </w:r>
            <w:r w:rsidR="00323F5C" w:rsidRPr="00C57E99">
              <w:rPr>
                <w:rFonts w:asciiTheme="minorHAnsi" w:eastAsia="Times New Roman" w:hAnsiTheme="minorHAnsi" w:cstheme="minorHAnsi"/>
                <w:b w:val="0"/>
                <w:bCs w:val="0"/>
                <w:color w:val="0E101A"/>
                <w:szCs w:val="24"/>
                <w:lang w:eastAsia="en-GB"/>
              </w:rPr>
              <w:t xml:space="preserve"> valuable </w:t>
            </w:r>
            <w:r w:rsidR="000E3290" w:rsidRPr="00C57E99">
              <w:rPr>
                <w:rFonts w:asciiTheme="minorHAnsi" w:eastAsia="Times New Roman" w:hAnsiTheme="minorHAnsi" w:cstheme="minorHAnsi"/>
                <w:b w:val="0"/>
                <w:bCs w:val="0"/>
                <w:color w:val="0E101A"/>
                <w:szCs w:val="24"/>
                <w:lang w:eastAsia="en-GB"/>
              </w:rPr>
              <w:t>strategic interrogation into AMR and AMU surveillance to</w:t>
            </w:r>
            <w:r w:rsidR="00323F5C" w:rsidRPr="00C57E99">
              <w:rPr>
                <w:rFonts w:asciiTheme="minorHAnsi" w:eastAsia="Times New Roman" w:hAnsiTheme="minorHAnsi" w:cstheme="minorHAnsi"/>
                <w:b w:val="0"/>
                <w:bCs w:val="0"/>
                <w:color w:val="0E101A"/>
                <w:szCs w:val="24"/>
                <w:lang w:eastAsia="en-GB"/>
              </w:rPr>
              <w:t xml:space="preserve"> design AMS programs t</w:t>
            </w:r>
            <w:r w:rsidR="000E3290" w:rsidRPr="00C57E99">
              <w:rPr>
                <w:rFonts w:asciiTheme="minorHAnsi" w:eastAsia="Times New Roman" w:hAnsiTheme="minorHAnsi" w:cstheme="minorHAnsi"/>
                <w:b w:val="0"/>
                <w:bCs w:val="0"/>
                <w:color w:val="0E101A"/>
                <w:szCs w:val="24"/>
                <w:lang w:eastAsia="en-GB"/>
              </w:rPr>
              <w:t>hat incorporate behavioural change strategies to</w:t>
            </w:r>
            <w:r w:rsidR="00323F5C" w:rsidRPr="00C57E99">
              <w:rPr>
                <w:rFonts w:asciiTheme="minorHAnsi" w:eastAsia="Times New Roman" w:hAnsiTheme="minorHAnsi" w:cstheme="minorHAnsi"/>
                <w:b w:val="0"/>
                <w:bCs w:val="0"/>
                <w:color w:val="0E101A"/>
                <w:szCs w:val="24"/>
                <w:lang w:eastAsia="en-GB"/>
              </w:rPr>
              <w:t xml:space="preserve"> enhance interprofessional collaboration between laboratory services and the primary care workforce in and beyond COVID-19. </w:t>
            </w:r>
          </w:p>
          <w:p w14:paraId="413353C1" w14:textId="77777777" w:rsidR="00DC01A8" w:rsidRPr="00C57E99" w:rsidRDefault="00DC01A8" w:rsidP="00B525B9">
            <w:pPr>
              <w:spacing w:line="360" w:lineRule="auto"/>
              <w:jc w:val="both"/>
              <w:rPr>
                <w:rFonts w:asciiTheme="minorHAnsi" w:eastAsia="Times New Roman" w:hAnsiTheme="minorHAnsi" w:cstheme="minorHAnsi"/>
                <w:b w:val="0"/>
                <w:bCs w:val="0"/>
                <w:color w:val="0E101A"/>
                <w:szCs w:val="24"/>
                <w:lang w:eastAsia="en-GB"/>
              </w:rPr>
            </w:pPr>
          </w:p>
          <w:p w14:paraId="51022A3E" w14:textId="01D3DB4F" w:rsidR="00B525B9" w:rsidRPr="00C57E99" w:rsidRDefault="00B525B9" w:rsidP="00B525B9">
            <w:pPr>
              <w:spacing w:line="360" w:lineRule="auto"/>
              <w:jc w:val="both"/>
              <w:rPr>
                <w:rFonts w:asciiTheme="minorHAnsi" w:hAnsiTheme="minorHAnsi" w:cstheme="minorHAnsi"/>
              </w:rPr>
            </w:pPr>
            <w:r w:rsidRPr="00C57E99">
              <w:rPr>
                <w:rFonts w:asciiTheme="minorHAnsi" w:eastAsia="Times New Roman" w:hAnsiTheme="minorHAnsi" w:cstheme="minorHAnsi"/>
                <w:color w:val="0E101A"/>
                <w:szCs w:val="24"/>
                <w:u w:val="single"/>
                <w:lang w:eastAsia="en-GB"/>
              </w:rPr>
              <w:t>Research Objective and Questions:</w:t>
            </w:r>
          </w:p>
          <w:p w14:paraId="6810DE52" w14:textId="54E1B8E9" w:rsidR="00B525B9" w:rsidRPr="00C57E99" w:rsidRDefault="00DC01A8"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T</w:t>
            </w:r>
            <w:r w:rsidR="00B525B9" w:rsidRPr="00C57E99">
              <w:rPr>
                <w:rFonts w:asciiTheme="minorHAnsi" w:eastAsia="Times New Roman" w:hAnsiTheme="minorHAnsi" w:cstheme="minorHAnsi"/>
                <w:b w:val="0"/>
                <w:bCs w:val="0"/>
                <w:color w:val="0E101A"/>
                <w:szCs w:val="24"/>
                <w:lang w:eastAsia="en-GB"/>
              </w:rPr>
              <w:t xml:space="preserve">he primary research objective is to determine regionally relevant </w:t>
            </w:r>
            <w:r w:rsidR="00697EED">
              <w:rPr>
                <w:rFonts w:asciiTheme="minorHAnsi" w:eastAsia="Times New Roman" w:hAnsiTheme="minorHAnsi" w:cstheme="minorHAnsi"/>
                <w:b w:val="0"/>
                <w:bCs w:val="0"/>
                <w:color w:val="0E101A"/>
                <w:szCs w:val="24"/>
                <w:lang w:eastAsia="en-GB"/>
              </w:rPr>
              <w:t>quality indicators</w:t>
            </w:r>
            <w:r w:rsidR="00B525B9" w:rsidRPr="00C57E99">
              <w:rPr>
                <w:rFonts w:asciiTheme="minorHAnsi" w:eastAsia="Times New Roman" w:hAnsiTheme="minorHAnsi" w:cstheme="minorHAnsi"/>
                <w:b w:val="0"/>
                <w:bCs w:val="0"/>
                <w:color w:val="0E101A"/>
                <w:szCs w:val="24"/>
                <w:lang w:eastAsia="en-GB"/>
              </w:rPr>
              <w:t xml:space="preserve"> (QIs) for AMS in primary care </w:t>
            </w:r>
            <w:r w:rsidR="00E258CC" w:rsidRPr="00C57E99">
              <w:rPr>
                <w:rFonts w:asciiTheme="minorHAnsi" w:eastAsia="Times New Roman" w:hAnsiTheme="minorHAnsi" w:cstheme="minorHAnsi"/>
                <w:b w:val="0"/>
                <w:bCs w:val="0"/>
                <w:color w:val="0E101A"/>
                <w:szCs w:val="24"/>
                <w:lang w:eastAsia="en-GB"/>
              </w:rPr>
              <w:t xml:space="preserve">and </w:t>
            </w:r>
            <w:r w:rsidR="00B525B9" w:rsidRPr="00C57E99">
              <w:rPr>
                <w:rFonts w:asciiTheme="minorHAnsi" w:eastAsia="Times New Roman" w:hAnsiTheme="minorHAnsi" w:cstheme="minorHAnsi"/>
                <w:b w:val="0"/>
                <w:bCs w:val="0"/>
                <w:color w:val="0E101A"/>
                <w:szCs w:val="24"/>
                <w:lang w:eastAsia="en-GB"/>
              </w:rPr>
              <w:t xml:space="preserve">describe the current patterns of and influences on antimicrobial use and resistance in ambulatory isolates, thereby contributing to evidence-based guidelines and targeted stewardship strategies with ongoing evaluation. </w:t>
            </w:r>
          </w:p>
          <w:p w14:paraId="5B1B74AC" w14:textId="38848546" w:rsidR="00B525B9" w:rsidRPr="00C57E99" w:rsidRDefault="00B525B9"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 xml:space="preserve">The proposed project utilises a mixed-methods approach integrating qualitative and quantitative research methodologies and engages </w:t>
            </w:r>
            <w:r w:rsidR="00793B67" w:rsidRPr="00C57E99">
              <w:rPr>
                <w:rFonts w:asciiTheme="minorHAnsi" w:eastAsia="Times New Roman" w:hAnsiTheme="minorHAnsi" w:cstheme="minorHAnsi"/>
                <w:b w:val="0"/>
                <w:bCs w:val="0"/>
                <w:color w:val="0E101A"/>
                <w:szCs w:val="24"/>
                <w:lang w:eastAsia="en-GB"/>
              </w:rPr>
              <w:t>a transnational, multilateral expert network for AMR action for the first time in the reg</w:t>
            </w:r>
            <w:r w:rsidRPr="00C57E99">
              <w:rPr>
                <w:rFonts w:asciiTheme="minorHAnsi" w:eastAsia="Times New Roman" w:hAnsiTheme="minorHAnsi" w:cstheme="minorHAnsi"/>
                <w:b w:val="0"/>
                <w:bCs w:val="0"/>
                <w:color w:val="0E101A"/>
                <w:szCs w:val="24"/>
                <w:lang w:eastAsia="en-GB"/>
              </w:rPr>
              <w:t>ion.</w:t>
            </w:r>
          </w:p>
          <w:p w14:paraId="75105EAF" w14:textId="77777777" w:rsidR="00E258CC" w:rsidRPr="00C57E99" w:rsidRDefault="00E258CC" w:rsidP="00B525B9">
            <w:pPr>
              <w:spacing w:line="360" w:lineRule="auto"/>
              <w:jc w:val="both"/>
              <w:rPr>
                <w:rFonts w:asciiTheme="minorHAnsi" w:eastAsia="Times New Roman" w:hAnsiTheme="minorHAnsi" w:cstheme="minorHAnsi"/>
                <w:color w:val="0E101A"/>
                <w:szCs w:val="24"/>
                <w:lang w:eastAsia="en-GB"/>
              </w:rPr>
            </w:pPr>
          </w:p>
          <w:p w14:paraId="4757D6C1" w14:textId="47146916" w:rsidR="00B525B9" w:rsidRPr="00C57E99" w:rsidRDefault="00B525B9"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It asks the following questions:</w:t>
            </w:r>
          </w:p>
          <w:p w14:paraId="0FD69603" w14:textId="77777777" w:rsidR="00B525B9" w:rsidRPr="00C57E99" w:rsidRDefault="00B525B9" w:rsidP="00B525B9">
            <w:pPr>
              <w:numPr>
                <w:ilvl w:val="0"/>
                <w:numId w:val="1"/>
              </w:numPr>
              <w:autoSpaceDN w:val="0"/>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What is the LAC regional consensus on quality indicators for routine monitoring and evaluation of AMS in the primary care setting?</w:t>
            </w:r>
          </w:p>
          <w:p w14:paraId="3645BA25" w14:textId="1945B807" w:rsidR="00B525B9" w:rsidRPr="00C57E99" w:rsidRDefault="00B525B9" w:rsidP="00B525B9">
            <w:pPr>
              <w:numPr>
                <w:ilvl w:val="0"/>
                <w:numId w:val="1"/>
              </w:numPr>
              <w:autoSpaceDN w:val="0"/>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 xml:space="preserve">What are the patterns of antimicrobial prescription for </w:t>
            </w:r>
            <w:r w:rsidR="007301F2">
              <w:rPr>
                <w:rFonts w:asciiTheme="minorHAnsi" w:eastAsia="Times New Roman" w:hAnsiTheme="minorHAnsi" w:cstheme="minorHAnsi"/>
                <w:b w:val="0"/>
                <w:bCs w:val="0"/>
                <w:color w:val="0E101A"/>
                <w:szCs w:val="24"/>
                <w:lang w:eastAsia="en-GB"/>
              </w:rPr>
              <w:t>prevalent</w:t>
            </w:r>
            <w:r w:rsidR="00C55227">
              <w:rPr>
                <w:rFonts w:asciiTheme="minorHAnsi" w:eastAsia="Times New Roman" w:hAnsiTheme="minorHAnsi" w:cstheme="minorHAnsi"/>
                <w:b w:val="0"/>
                <w:bCs w:val="0"/>
                <w:color w:val="0E101A"/>
                <w:szCs w:val="24"/>
                <w:lang w:eastAsia="en-GB"/>
              </w:rPr>
              <w:t xml:space="preserve"> infectious</w:t>
            </w:r>
            <w:r w:rsidRPr="00C57E99">
              <w:rPr>
                <w:rFonts w:asciiTheme="minorHAnsi" w:eastAsia="Times New Roman" w:hAnsiTheme="minorHAnsi" w:cstheme="minorHAnsi"/>
                <w:b w:val="0"/>
                <w:bCs w:val="0"/>
                <w:color w:val="0E101A"/>
                <w:szCs w:val="24"/>
                <w:lang w:eastAsia="en-GB"/>
              </w:rPr>
              <w:t xml:space="preserve"> disease aetiologies in the primary care setting in Belize and the related quality indicator appraisal?</w:t>
            </w:r>
          </w:p>
          <w:p w14:paraId="2926FAB3" w14:textId="447976FC" w:rsidR="00790F93" w:rsidRPr="00C57E99" w:rsidRDefault="00B525B9" w:rsidP="00B525B9">
            <w:pPr>
              <w:numPr>
                <w:ilvl w:val="0"/>
                <w:numId w:val="1"/>
              </w:numPr>
              <w:autoSpaceDN w:val="0"/>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 xml:space="preserve">What are the </w:t>
            </w:r>
            <w:r w:rsidR="00C57E99" w:rsidRPr="00C57E99">
              <w:rPr>
                <w:rFonts w:asciiTheme="minorHAnsi" w:eastAsia="Times New Roman" w:hAnsiTheme="minorHAnsi" w:cstheme="minorHAnsi"/>
                <w:b w:val="0"/>
                <w:bCs w:val="0"/>
                <w:color w:val="0E101A"/>
                <w:szCs w:val="24"/>
                <w:lang w:eastAsia="en-GB"/>
              </w:rPr>
              <w:t xml:space="preserve">systemic (structure and process) </w:t>
            </w:r>
            <w:r w:rsidRPr="00C57E99">
              <w:rPr>
                <w:rFonts w:asciiTheme="minorHAnsi" w:eastAsia="Times New Roman" w:hAnsiTheme="minorHAnsi" w:cstheme="minorHAnsi"/>
                <w:b w:val="0"/>
                <w:bCs w:val="0"/>
                <w:color w:val="0E101A"/>
                <w:szCs w:val="24"/>
                <w:lang w:eastAsia="en-GB"/>
              </w:rPr>
              <w:t>factors influencing</w:t>
            </w:r>
            <w:r w:rsidR="00C57E99" w:rsidRPr="00C57E99">
              <w:rPr>
                <w:rFonts w:asciiTheme="minorHAnsi" w:eastAsia="Times New Roman" w:hAnsiTheme="minorHAnsi" w:cstheme="minorHAnsi"/>
                <w:b w:val="0"/>
                <w:bCs w:val="0"/>
                <w:color w:val="0E101A"/>
                <w:szCs w:val="24"/>
                <w:lang w:eastAsia="en-GB"/>
              </w:rPr>
              <w:t xml:space="preserve"> health professional and patient</w:t>
            </w:r>
            <w:r w:rsidR="00F45CBE">
              <w:rPr>
                <w:rFonts w:asciiTheme="minorHAnsi" w:eastAsia="Times New Roman" w:hAnsiTheme="minorHAnsi" w:cstheme="minorHAnsi"/>
                <w:b w:val="0"/>
                <w:bCs w:val="0"/>
                <w:color w:val="0E101A"/>
                <w:szCs w:val="24"/>
                <w:lang w:eastAsia="en-GB"/>
              </w:rPr>
              <w:t xml:space="preserve"> antimicrobial use</w:t>
            </w:r>
            <w:r w:rsidR="00C57E99" w:rsidRPr="00C57E99">
              <w:rPr>
                <w:rFonts w:asciiTheme="minorHAnsi" w:eastAsia="Times New Roman" w:hAnsiTheme="minorHAnsi" w:cstheme="minorHAnsi"/>
                <w:b w:val="0"/>
                <w:bCs w:val="0"/>
                <w:color w:val="0E101A"/>
                <w:szCs w:val="24"/>
                <w:lang w:eastAsia="en-GB"/>
              </w:rPr>
              <w:t xml:space="preserve"> behaviours</w:t>
            </w:r>
            <w:r w:rsidRPr="00C57E99">
              <w:rPr>
                <w:rFonts w:asciiTheme="minorHAnsi" w:eastAsia="Times New Roman" w:hAnsiTheme="minorHAnsi" w:cstheme="minorHAnsi"/>
                <w:b w:val="0"/>
                <w:bCs w:val="0"/>
                <w:color w:val="0E101A"/>
                <w:szCs w:val="24"/>
                <w:lang w:eastAsia="en-GB"/>
              </w:rPr>
              <w:t xml:space="preserve"> in primary care in Belize?</w:t>
            </w:r>
            <w:r w:rsidR="00C57E99" w:rsidRPr="00C57E99">
              <w:rPr>
                <w:rFonts w:asciiTheme="minorHAnsi" w:eastAsia="Times New Roman" w:hAnsiTheme="minorHAnsi" w:cstheme="minorHAnsi"/>
                <w:b w:val="0"/>
                <w:bCs w:val="0"/>
                <w:color w:val="0E101A"/>
                <w:szCs w:val="24"/>
                <w:lang w:eastAsia="en-GB"/>
              </w:rPr>
              <w:t xml:space="preserve"> </w:t>
            </w:r>
          </w:p>
          <w:p w14:paraId="2AC7D254" w14:textId="77777777" w:rsidR="00C57E99" w:rsidRPr="00C57E99" w:rsidRDefault="00C57E99" w:rsidP="00C57E99">
            <w:pPr>
              <w:autoSpaceDN w:val="0"/>
              <w:spacing w:line="360" w:lineRule="auto"/>
              <w:ind w:left="720"/>
              <w:jc w:val="both"/>
              <w:rPr>
                <w:rFonts w:asciiTheme="minorHAnsi" w:eastAsia="Times New Roman" w:hAnsiTheme="minorHAnsi" w:cstheme="minorHAnsi"/>
                <w:b w:val="0"/>
                <w:bCs w:val="0"/>
                <w:color w:val="0E101A"/>
                <w:szCs w:val="24"/>
                <w:lang w:eastAsia="en-GB"/>
              </w:rPr>
            </w:pPr>
          </w:p>
          <w:p w14:paraId="0967F03C" w14:textId="2B52F8FE" w:rsidR="00B525B9" w:rsidRPr="00C57E99" w:rsidRDefault="0071401C" w:rsidP="00B525B9">
            <w:pPr>
              <w:spacing w:line="360" w:lineRule="auto"/>
              <w:jc w:val="both"/>
              <w:rPr>
                <w:rFonts w:asciiTheme="minorHAnsi" w:eastAsia="Times New Roman" w:hAnsiTheme="minorHAnsi" w:cstheme="minorHAnsi"/>
                <w:b w:val="0"/>
                <w:bCs w:val="0"/>
                <w:color w:val="0E101A"/>
                <w:szCs w:val="24"/>
                <w:u w:val="single"/>
                <w:lang w:eastAsia="en-GB"/>
              </w:rPr>
            </w:pPr>
            <w:r w:rsidRPr="00C57E99">
              <w:rPr>
                <w:rFonts w:asciiTheme="minorHAnsi" w:eastAsia="Times New Roman" w:hAnsiTheme="minorHAnsi" w:cstheme="minorHAnsi"/>
                <w:color w:val="0E101A"/>
                <w:szCs w:val="24"/>
                <w:u w:val="single"/>
                <w:lang w:eastAsia="en-GB"/>
              </w:rPr>
              <w:t>Scientific Plan:</w:t>
            </w:r>
          </w:p>
          <w:p w14:paraId="6508F62B" w14:textId="1E4CA525" w:rsidR="0071401C" w:rsidRPr="00C57E99" w:rsidRDefault="00C57E99" w:rsidP="00B525B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There are three proposed phases of this study, each with unique data sources</w:t>
            </w:r>
            <w:r>
              <w:rPr>
                <w:rFonts w:asciiTheme="minorHAnsi" w:eastAsia="Times New Roman" w:hAnsiTheme="minorHAnsi" w:cstheme="minorHAnsi"/>
                <w:b w:val="0"/>
                <w:bCs w:val="0"/>
                <w:color w:val="0E101A"/>
                <w:szCs w:val="24"/>
                <w:lang w:eastAsia="en-GB"/>
              </w:rPr>
              <w:t xml:space="preserve"> summarized below:</w:t>
            </w:r>
          </w:p>
          <w:tbl>
            <w:tblPr>
              <w:tblStyle w:val="PlainTable2"/>
              <w:tblW w:w="0" w:type="auto"/>
              <w:tblLook w:val="0000" w:firstRow="0" w:lastRow="0" w:firstColumn="0" w:lastColumn="0" w:noHBand="0" w:noVBand="0"/>
            </w:tblPr>
            <w:tblGrid>
              <w:gridCol w:w="1673"/>
              <w:gridCol w:w="1915"/>
              <w:gridCol w:w="5202"/>
            </w:tblGrid>
            <w:tr w:rsidR="0071401C" w:rsidRPr="00C57E99" w14:paraId="4A8CC64C" w14:textId="77777777" w:rsidTr="00C57E99">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673" w:type="dxa"/>
                </w:tcPr>
                <w:p w14:paraId="702E295D" w14:textId="142C7D35"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rPr>
                    <w:t>Phase</w:t>
                  </w:r>
                  <w:r w:rsidRPr="00C57E99">
                    <w:rPr>
                      <w:rFonts w:asciiTheme="minorHAnsi" w:hAnsiTheme="minorHAnsi" w:cstheme="minorHAnsi"/>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1915" w:type="dxa"/>
                </w:tcPr>
                <w:p w14:paraId="7025A664" w14:textId="5FABC02B" w:rsidR="0071401C" w:rsidRPr="00C57E99" w:rsidRDefault="009303B1" w:rsidP="0071401C">
                  <w:pPr>
                    <w:pStyle w:val="Default"/>
                    <w:rPr>
                      <w:rFonts w:asciiTheme="minorHAnsi" w:hAnsiTheme="minorHAnsi" w:cstheme="minorHAnsi"/>
                      <w:sz w:val="22"/>
                      <w:szCs w:val="22"/>
                    </w:rPr>
                  </w:pPr>
                  <w:r w:rsidRPr="00C57E99">
                    <w:rPr>
                      <w:rFonts w:asciiTheme="minorHAnsi" w:hAnsiTheme="minorHAnsi" w:cstheme="minorHAnsi"/>
                      <w:sz w:val="22"/>
                      <w:szCs w:val="22"/>
                    </w:rPr>
                    <w:t>Objective</w:t>
                  </w:r>
                </w:p>
              </w:tc>
              <w:tc>
                <w:tcPr>
                  <w:cnfStyle w:val="000010000000" w:firstRow="0" w:lastRow="0" w:firstColumn="0" w:lastColumn="0" w:oddVBand="1" w:evenVBand="0" w:oddHBand="0" w:evenHBand="0" w:firstRowFirstColumn="0" w:firstRowLastColumn="0" w:lastRowFirstColumn="0" w:lastRowLastColumn="0"/>
                  <w:tcW w:w="0" w:type="auto"/>
                </w:tcPr>
                <w:p w14:paraId="6F6D2E0E" w14:textId="77777777"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Description </w:t>
                  </w:r>
                </w:p>
              </w:tc>
            </w:tr>
            <w:tr w:rsidR="0071401C" w:rsidRPr="00C57E99" w14:paraId="0AD7AC0A" w14:textId="77777777" w:rsidTr="00C57E99">
              <w:trPr>
                <w:trHeight w:val="254"/>
              </w:trPr>
              <w:tc>
                <w:tcPr>
                  <w:cnfStyle w:val="000010000000" w:firstRow="0" w:lastRow="0" w:firstColumn="0" w:lastColumn="0" w:oddVBand="1" w:evenVBand="0" w:oddHBand="0" w:evenHBand="0" w:firstRowFirstColumn="0" w:firstRowLastColumn="0" w:lastRowFirstColumn="0" w:lastRowLastColumn="0"/>
                  <w:tcW w:w="1673" w:type="dxa"/>
                </w:tcPr>
                <w:p w14:paraId="15A02B27" w14:textId="77777777"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sz w:val="22"/>
                      <w:szCs w:val="22"/>
                    </w:rPr>
                    <w:lastRenderedPageBreak/>
                    <w:t xml:space="preserve">Phase 1 </w:t>
                  </w:r>
                </w:p>
              </w:tc>
              <w:tc>
                <w:tcPr>
                  <w:cnfStyle w:val="000001000000" w:firstRow="0" w:lastRow="0" w:firstColumn="0" w:lastColumn="0" w:oddVBand="0" w:evenVBand="1" w:oddHBand="0" w:evenHBand="0" w:firstRowFirstColumn="0" w:firstRowLastColumn="0" w:lastRowFirstColumn="0" w:lastRowLastColumn="0"/>
                  <w:tcW w:w="1915" w:type="dxa"/>
                </w:tcPr>
                <w:p w14:paraId="3CA42CF8" w14:textId="43072317"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Iterative </w:t>
                  </w:r>
                  <w:r w:rsidR="004204B8" w:rsidRPr="00C57E99">
                    <w:rPr>
                      <w:rFonts w:asciiTheme="minorHAnsi" w:hAnsiTheme="minorHAnsi" w:cstheme="minorHAnsi"/>
                      <w:sz w:val="22"/>
                      <w:szCs w:val="22"/>
                    </w:rPr>
                    <w:t>Q</w:t>
                  </w:r>
                  <w:r w:rsidR="00C57E99">
                    <w:rPr>
                      <w:rFonts w:asciiTheme="minorHAnsi" w:hAnsiTheme="minorHAnsi" w:cstheme="minorHAnsi"/>
                      <w:sz w:val="22"/>
                      <w:szCs w:val="22"/>
                    </w:rPr>
                    <w:t>uality Indicator (Q</w:t>
                  </w:r>
                  <w:r w:rsidR="004204B8" w:rsidRPr="00C57E99">
                    <w:rPr>
                      <w:rFonts w:asciiTheme="minorHAnsi" w:hAnsiTheme="minorHAnsi" w:cstheme="minorHAnsi"/>
                      <w:sz w:val="22"/>
                      <w:szCs w:val="22"/>
                    </w:rPr>
                    <w:t>I</w:t>
                  </w:r>
                  <w:r w:rsidR="00C57E99">
                    <w:rPr>
                      <w:rFonts w:asciiTheme="minorHAnsi" w:hAnsiTheme="minorHAnsi" w:cstheme="minorHAnsi"/>
                      <w:sz w:val="22"/>
                      <w:szCs w:val="22"/>
                    </w:rPr>
                    <w:t>)</w:t>
                  </w:r>
                  <w:r w:rsidR="004204B8" w:rsidRPr="00C57E99">
                    <w:rPr>
                      <w:rFonts w:asciiTheme="minorHAnsi" w:hAnsiTheme="minorHAnsi" w:cstheme="minorHAnsi"/>
                      <w:sz w:val="22"/>
                      <w:szCs w:val="22"/>
                    </w:rPr>
                    <w:t xml:space="preserve"> </w:t>
                  </w:r>
                  <w:r w:rsidRPr="00C57E99">
                    <w:rPr>
                      <w:rFonts w:asciiTheme="minorHAnsi" w:hAnsiTheme="minorHAnsi" w:cstheme="minorHAnsi"/>
                      <w:sz w:val="22"/>
                      <w:szCs w:val="22"/>
                    </w:rPr>
                    <w:t>tool development and modification</w:t>
                  </w:r>
                  <w:r w:rsidR="004204B8" w:rsidRPr="00C57E99">
                    <w:rPr>
                      <w:rFonts w:asciiTheme="minorHAnsi" w:hAnsiTheme="minorHAnsi" w:cstheme="minorHAnsi"/>
                      <w:sz w:val="22"/>
                      <w:szCs w:val="22"/>
                    </w:rPr>
                    <w:t xml:space="preserve"> with regional consensus</w:t>
                  </w:r>
                  <w:r w:rsidRPr="00C57E99">
                    <w:rPr>
                      <w:rFonts w:asciiTheme="minorHAnsi" w:hAnsiTheme="minorHAnsi"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0" w:type="auto"/>
                </w:tcPr>
                <w:p w14:paraId="015DE99C" w14:textId="6315D9CA" w:rsidR="0071401C" w:rsidRPr="00C57E99" w:rsidRDefault="00AA2FC6" w:rsidP="00C57E99">
                  <w:pPr>
                    <w:pStyle w:val="Default"/>
                    <w:numPr>
                      <w:ilvl w:val="0"/>
                      <w:numId w:val="4"/>
                    </w:numPr>
                    <w:rPr>
                      <w:rFonts w:asciiTheme="minorHAnsi" w:hAnsiTheme="minorHAnsi" w:cstheme="minorHAnsi"/>
                      <w:sz w:val="22"/>
                      <w:szCs w:val="22"/>
                    </w:rPr>
                  </w:pPr>
                  <w:r w:rsidRPr="00C57E99">
                    <w:rPr>
                      <w:rFonts w:asciiTheme="minorHAnsi" w:hAnsiTheme="minorHAnsi" w:cstheme="minorHAnsi"/>
                      <w:sz w:val="22"/>
                      <w:szCs w:val="22"/>
                    </w:rPr>
                    <w:t>RAND-modified Delphi P</w:t>
                  </w:r>
                  <w:r w:rsidR="004204B8" w:rsidRPr="00C57E99">
                    <w:rPr>
                      <w:rFonts w:asciiTheme="minorHAnsi" w:hAnsiTheme="minorHAnsi" w:cstheme="minorHAnsi"/>
                      <w:sz w:val="22"/>
                      <w:szCs w:val="22"/>
                    </w:rPr>
                    <w:t>anel Method</w:t>
                  </w:r>
                  <w:r w:rsidRPr="00C57E99">
                    <w:rPr>
                      <w:rFonts w:asciiTheme="minorHAnsi" w:hAnsiTheme="minorHAnsi" w:cstheme="minorHAnsi"/>
                      <w:sz w:val="22"/>
                      <w:szCs w:val="22"/>
                    </w:rPr>
                    <w:t xml:space="preserve">: </w:t>
                  </w:r>
                  <w:r w:rsidR="004204B8" w:rsidRPr="00C57E99">
                    <w:rPr>
                      <w:rFonts w:asciiTheme="minorHAnsi" w:hAnsiTheme="minorHAnsi" w:cstheme="minorHAnsi"/>
                      <w:sz w:val="22"/>
                      <w:szCs w:val="22"/>
                    </w:rPr>
                    <w:t>Systematic</w:t>
                  </w:r>
                  <w:r w:rsidRPr="00C57E99">
                    <w:rPr>
                      <w:rFonts w:asciiTheme="minorHAnsi" w:hAnsiTheme="minorHAnsi" w:cstheme="minorHAnsi"/>
                      <w:sz w:val="22"/>
                      <w:szCs w:val="22"/>
                    </w:rPr>
                    <w:t xml:space="preserve"> Review of</w:t>
                  </w:r>
                  <w:r w:rsidR="004204B8" w:rsidRPr="00C57E99">
                    <w:rPr>
                      <w:rFonts w:asciiTheme="minorHAnsi" w:hAnsiTheme="minorHAnsi" w:cstheme="minorHAnsi"/>
                      <w:sz w:val="22"/>
                      <w:szCs w:val="22"/>
                    </w:rPr>
                    <w:t xml:space="preserve"> </w:t>
                  </w:r>
                  <w:r w:rsidRPr="00C57E99">
                    <w:rPr>
                      <w:rFonts w:asciiTheme="minorHAnsi" w:hAnsiTheme="minorHAnsi" w:cstheme="minorHAnsi"/>
                      <w:sz w:val="22"/>
                      <w:szCs w:val="22"/>
                    </w:rPr>
                    <w:t>Q</w:t>
                  </w:r>
                  <w:r w:rsidR="00C57E99">
                    <w:rPr>
                      <w:rFonts w:asciiTheme="minorHAnsi" w:hAnsiTheme="minorHAnsi" w:cstheme="minorHAnsi"/>
                      <w:sz w:val="22"/>
                      <w:szCs w:val="22"/>
                    </w:rPr>
                    <w:t>Is</w:t>
                  </w:r>
                  <w:r w:rsidR="004204B8" w:rsidRPr="00C57E99">
                    <w:rPr>
                      <w:rFonts w:asciiTheme="minorHAnsi" w:hAnsiTheme="minorHAnsi" w:cstheme="minorHAnsi"/>
                      <w:sz w:val="22"/>
                      <w:szCs w:val="22"/>
                    </w:rPr>
                    <w:t xml:space="preserve"> for AMS</w:t>
                  </w:r>
                  <w:r w:rsidRPr="00C57E99">
                    <w:rPr>
                      <w:rFonts w:asciiTheme="minorHAnsi" w:hAnsiTheme="minorHAnsi" w:cstheme="minorHAnsi"/>
                      <w:sz w:val="22"/>
                      <w:szCs w:val="22"/>
                    </w:rPr>
                    <w:t xml:space="preserve"> in Primary Care with Expert Panel </w:t>
                  </w:r>
                  <w:r w:rsidR="004204B8" w:rsidRPr="00C57E99">
                    <w:rPr>
                      <w:rFonts w:asciiTheme="minorHAnsi" w:hAnsiTheme="minorHAnsi" w:cstheme="minorHAnsi"/>
                      <w:sz w:val="22"/>
                      <w:szCs w:val="22"/>
                    </w:rPr>
                    <w:t xml:space="preserve">Opinion sharing and development of QI agreement summary. </w:t>
                  </w:r>
                </w:p>
              </w:tc>
            </w:tr>
            <w:tr w:rsidR="0071401C" w:rsidRPr="00C57E99" w14:paraId="24F6055E" w14:textId="77777777" w:rsidTr="00C57E99">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1673" w:type="dxa"/>
                </w:tcPr>
                <w:p w14:paraId="0EEFAF1D" w14:textId="77777777"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Phase 2 </w:t>
                  </w:r>
                </w:p>
              </w:tc>
              <w:tc>
                <w:tcPr>
                  <w:cnfStyle w:val="000001000000" w:firstRow="0" w:lastRow="0" w:firstColumn="0" w:lastColumn="0" w:oddVBand="0" w:evenVBand="1" w:oddHBand="0" w:evenHBand="0" w:firstRowFirstColumn="0" w:firstRowLastColumn="0" w:lastRowFirstColumn="0" w:lastRowLastColumn="0"/>
                  <w:tcW w:w="1915" w:type="dxa"/>
                </w:tcPr>
                <w:p w14:paraId="1C1DA259" w14:textId="44DC5D04" w:rsidR="0071401C" w:rsidRPr="00C57E99" w:rsidRDefault="00790F93" w:rsidP="0071401C">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Quantitative and Qualitative </w:t>
                  </w:r>
                  <w:r w:rsidR="0071401C" w:rsidRPr="00C57E99">
                    <w:rPr>
                      <w:rFonts w:asciiTheme="minorHAnsi" w:hAnsiTheme="minorHAnsi" w:cstheme="minorHAnsi"/>
                      <w:sz w:val="22"/>
                      <w:szCs w:val="22"/>
                    </w:rPr>
                    <w:t>data collection</w:t>
                  </w:r>
                  <w:r w:rsidR="004204B8" w:rsidRPr="00C57E99">
                    <w:rPr>
                      <w:rFonts w:asciiTheme="minorHAnsi" w:hAnsiTheme="minorHAnsi" w:cstheme="minorHAnsi"/>
                      <w:sz w:val="22"/>
                      <w:szCs w:val="22"/>
                    </w:rPr>
                    <w:t xml:space="preserve"> </w:t>
                  </w:r>
                  <w:r w:rsidRPr="00C57E99">
                    <w:rPr>
                      <w:rFonts w:asciiTheme="minorHAnsi" w:hAnsiTheme="minorHAnsi" w:cstheme="minorHAnsi"/>
                      <w:sz w:val="22"/>
                      <w:szCs w:val="22"/>
                    </w:rPr>
                    <w:t>on AMU in the Belize Primary Care Setting</w:t>
                  </w:r>
                </w:p>
              </w:tc>
              <w:tc>
                <w:tcPr>
                  <w:cnfStyle w:val="000010000000" w:firstRow="0" w:lastRow="0" w:firstColumn="0" w:lastColumn="0" w:oddVBand="1" w:evenVBand="0" w:oddHBand="0" w:evenHBand="0" w:firstRowFirstColumn="0" w:firstRowLastColumn="0" w:lastRowFirstColumn="0" w:lastRowLastColumn="0"/>
                  <w:tcW w:w="0" w:type="auto"/>
                </w:tcPr>
                <w:p w14:paraId="37E9F202" w14:textId="09FEF3C6" w:rsidR="0071401C" w:rsidRPr="00C57E99" w:rsidRDefault="00790F93" w:rsidP="00C57E99">
                  <w:pPr>
                    <w:pStyle w:val="Default"/>
                    <w:numPr>
                      <w:ilvl w:val="0"/>
                      <w:numId w:val="3"/>
                    </w:numPr>
                    <w:rPr>
                      <w:rFonts w:asciiTheme="minorHAnsi" w:hAnsiTheme="minorHAnsi" w:cstheme="minorHAnsi"/>
                      <w:sz w:val="22"/>
                      <w:szCs w:val="22"/>
                    </w:rPr>
                  </w:pPr>
                  <w:r w:rsidRPr="00C57E99">
                    <w:rPr>
                      <w:rFonts w:asciiTheme="minorHAnsi" w:hAnsiTheme="minorHAnsi" w:cstheme="minorHAnsi"/>
                      <w:sz w:val="22"/>
                      <w:szCs w:val="22"/>
                    </w:rPr>
                    <w:t xml:space="preserve">Utilizing mixed research methods to capture data on </w:t>
                  </w:r>
                  <w:r w:rsidR="00C57E99">
                    <w:rPr>
                      <w:rFonts w:asciiTheme="minorHAnsi" w:hAnsiTheme="minorHAnsi" w:cstheme="minorHAnsi"/>
                      <w:sz w:val="22"/>
                      <w:szCs w:val="22"/>
                    </w:rPr>
                    <w:t xml:space="preserve">healthcare worker and patient </w:t>
                  </w:r>
                  <w:r w:rsidRPr="00C57E99">
                    <w:rPr>
                      <w:rFonts w:asciiTheme="minorHAnsi" w:hAnsiTheme="minorHAnsi" w:cstheme="minorHAnsi"/>
                      <w:sz w:val="22"/>
                      <w:szCs w:val="22"/>
                    </w:rPr>
                    <w:t>behaviours using the national health information system and qualitative research methods in primary care.</w:t>
                  </w:r>
                  <w:r w:rsidR="0071401C" w:rsidRPr="00C57E99">
                    <w:rPr>
                      <w:rFonts w:asciiTheme="minorHAnsi" w:hAnsiTheme="minorHAnsi" w:cstheme="minorHAnsi"/>
                      <w:sz w:val="22"/>
                      <w:szCs w:val="22"/>
                    </w:rPr>
                    <w:t xml:space="preserve"> </w:t>
                  </w:r>
                </w:p>
              </w:tc>
            </w:tr>
            <w:tr w:rsidR="0071401C" w:rsidRPr="00C57E99" w14:paraId="1FEE3E50" w14:textId="77777777" w:rsidTr="00C57E99">
              <w:trPr>
                <w:trHeight w:val="398"/>
              </w:trPr>
              <w:tc>
                <w:tcPr>
                  <w:cnfStyle w:val="000010000000" w:firstRow="0" w:lastRow="0" w:firstColumn="0" w:lastColumn="0" w:oddVBand="1" w:evenVBand="0" w:oddHBand="0" w:evenHBand="0" w:firstRowFirstColumn="0" w:firstRowLastColumn="0" w:lastRowFirstColumn="0" w:lastRowLastColumn="0"/>
                  <w:tcW w:w="1673" w:type="dxa"/>
                </w:tcPr>
                <w:p w14:paraId="0D389FA6" w14:textId="47FE4062" w:rsidR="0071401C" w:rsidRPr="00C57E99" w:rsidRDefault="0071401C" w:rsidP="0071401C">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Phase </w:t>
                  </w:r>
                  <w:r w:rsidR="001C104F" w:rsidRPr="00C57E99">
                    <w:rPr>
                      <w:rFonts w:asciiTheme="minorHAnsi" w:hAnsiTheme="minorHAnsi" w:cstheme="minorHAnsi"/>
                      <w:sz w:val="22"/>
                      <w:szCs w:val="22"/>
                    </w:rPr>
                    <w:t>3</w:t>
                  </w:r>
                </w:p>
              </w:tc>
              <w:tc>
                <w:tcPr>
                  <w:cnfStyle w:val="000001000000" w:firstRow="0" w:lastRow="0" w:firstColumn="0" w:lastColumn="0" w:oddVBand="0" w:evenVBand="1" w:oddHBand="0" w:evenHBand="0" w:firstRowFirstColumn="0" w:firstRowLastColumn="0" w:lastRowFirstColumn="0" w:lastRowLastColumn="0"/>
                  <w:tcW w:w="1915" w:type="dxa"/>
                </w:tcPr>
                <w:p w14:paraId="50515522" w14:textId="02F7FA02" w:rsidR="0071401C" w:rsidRPr="00C57E99" w:rsidRDefault="001C104F" w:rsidP="0071401C">
                  <w:pPr>
                    <w:pStyle w:val="Default"/>
                    <w:rPr>
                      <w:rFonts w:asciiTheme="minorHAnsi" w:hAnsiTheme="minorHAnsi" w:cstheme="minorHAnsi"/>
                      <w:sz w:val="22"/>
                      <w:szCs w:val="22"/>
                    </w:rPr>
                  </w:pPr>
                  <w:r w:rsidRPr="00C57E99">
                    <w:rPr>
                      <w:rFonts w:asciiTheme="minorHAnsi" w:hAnsiTheme="minorHAnsi" w:cstheme="minorHAnsi"/>
                      <w:sz w:val="22"/>
                      <w:szCs w:val="22"/>
                    </w:rPr>
                    <w:t>Triangulation of Phase 2 Findings</w:t>
                  </w:r>
                </w:p>
              </w:tc>
              <w:tc>
                <w:tcPr>
                  <w:cnfStyle w:val="000010000000" w:firstRow="0" w:lastRow="0" w:firstColumn="0" w:lastColumn="0" w:oddVBand="1" w:evenVBand="0" w:oddHBand="0" w:evenHBand="0" w:firstRowFirstColumn="0" w:firstRowLastColumn="0" w:lastRowFirstColumn="0" w:lastRowLastColumn="0"/>
                  <w:tcW w:w="0" w:type="auto"/>
                </w:tcPr>
                <w:p w14:paraId="5B3BCB2C" w14:textId="4A6D46D1" w:rsidR="0071401C" w:rsidRPr="00C57E99" w:rsidRDefault="00C57E99" w:rsidP="00C57E99">
                  <w:pPr>
                    <w:pStyle w:val="ListParagraph"/>
                    <w:numPr>
                      <w:ilvl w:val="0"/>
                      <w:numId w:val="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Uses Qualitative and Quantitative findings to highlight </w:t>
                  </w:r>
                  <w:r w:rsidRPr="00C57E99">
                    <w:rPr>
                      <w:rFonts w:asciiTheme="minorHAnsi" w:hAnsiTheme="minorHAnsi" w:cstheme="minorHAnsi"/>
                      <w:color w:val="000000"/>
                      <w:sz w:val="22"/>
                      <w:szCs w:val="22"/>
                    </w:rPr>
                    <w:t>the level of awareness and determinants of behaviour</w:t>
                  </w:r>
                  <w:r w:rsidR="00234E8B">
                    <w:rPr>
                      <w:rFonts w:asciiTheme="minorHAnsi" w:hAnsiTheme="minorHAnsi" w:cstheme="minorHAnsi"/>
                      <w:color w:val="000000"/>
                      <w:sz w:val="22"/>
                      <w:szCs w:val="22"/>
                    </w:rPr>
                    <w:t xml:space="preserve"> and systemic contributors to antimicrobial use </w:t>
                  </w:r>
                  <w:r w:rsidRPr="00C57E99">
                    <w:rPr>
                      <w:rFonts w:asciiTheme="minorHAnsi" w:hAnsiTheme="minorHAnsi" w:cstheme="minorHAnsi"/>
                      <w:color w:val="000000"/>
                      <w:sz w:val="22"/>
                      <w:szCs w:val="22"/>
                    </w:rPr>
                    <w:t>in health professionals, patients</w:t>
                  </w:r>
                  <w:r w:rsidR="00234E8B">
                    <w:rPr>
                      <w:rFonts w:asciiTheme="minorHAnsi" w:hAnsiTheme="minorHAnsi" w:cstheme="minorHAnsi"/>
                      <w:color w:val="000000"/>
                      <w:sz w:val="22"/>
                      <w:szCs w:val="22"/>
                    </w:rPr>
                    <w:t xml:space="preserve"> in the primary care setting.</w:t>
                  </w:r>
                </w:p>
              </w:tc>
            </w:tr>
            <w:tr w:rsidR="001C104F" w:rsidRPr="00C57E99" w14:paraId="77B241B7" w14:textId="77777777" w:rsidTr="00C57E99">
              <w:trPr>
                <w:cnfStyle w:val="000000100000" w:firstRow="0" w:lastRow="0" w:firstColumn="0" w:lastColumn="0" w:oddVBand="0" w:evenVBand="0" w:oddHBand="1" w:evenHBand="0" w:firstRowFirstColumn="0" w:firstRowLastColumn="0" w:lastRowFirstColumn="0" w:lastRowLastColumn="0"/>
                <w:trHeight w:val="398"/>
              </w:trPr>
              <w:tc>
                <w:tcPr>
                  <w:cnfStyle w:val="000010000000" w:firstRow="0" w:lastRow="0" w:firstColumn="0" w:lastColumn="0" w:oddVBand="1" w:evenVBand="0" w:oddHBand="0" w:evenHBand="0" w:firstRowFirstColumn="0" w:firstRowLastColumn="0" w:lastRowFirstColumn="0" w:lastRowLastColumn="0"/>
                  <w:tcW w:w="1673" w:type="dxa"/>
                </w:tcPr>
                <w:p w14:paraId="79FFF36B" w14:textId="3F3C6443" w:rsidR="001C104F" w:rsidRPr="00C57E99" w:rsidRDefault="001C104F" w:rsidP="001C104F">
                  <w:pPr>
                    <w:pStyle w:val="Default"/>
                    <w:rPr>
                      <w:rFonts w:asciiTheme="minorHAnsi" w:hAnsiTheme="minorHAnsi" w:cstheme="minorHAnsi"/>
                      <w:sz w:val="22"/>
                      <w:szCs w:val="22"/>
                    </w:rPr>
                  </w:pPr>
                  <w:r w:rsidRPr="00C57E99">
                    <w:rPr>
                      <w:rFonts w:asciiTheme="minorHAnsi" w:hAnsiTheme="minorHAnsi" w:cstheme="minorHAnsi"/>
                      <w:sz w:val="22"/>
                      <w:szCs w:val="22"/>
                    </w:rPr>
                    <w:t>Phase 4</w:t>
                  </w:r>
                </w:p>
              </w:tc>
              <w:tc>
                <w:tcPr>
                  <w:cnfStyle w:val="000001000000" w:firstRow="0" w:lastRow="0" w:firstColumn="0" w:lastColumn="0" w:oddVBand="0" w:evenVBand="1" w:oddHBand="0" w:evenHBand="0" w:firstRowFirstColumn="0" w:firstRowLastColumn="0" w:lastRowFirstColumn="0" w:lastRowLastColumn="0"/>
                  <w:tcW w:w="1915" w:type="dxa"/>
                </w:tcPr>
                <w:p w14:paraId="6B2A54CB" w14:textId="7EE32B1C" w:rsidR="001C104F" w:rsidRPr="00C57E99" w:rsidRDefault="001C104F" w:rsidP="001C104F">
                  <w:pPr>
                    <w:pStyle w:val="Default"/>
                    <w:rPr>
                      <w:rFonts w:asciiTheme="minorHAnsi" w:hAnsiTheme="minorHAnsi" w:cstheme="minorHAnsi"/>
                      <w:sz w:val="22"/>
                      <w:szCs w:val="22"/>
                    </w:rPr>
                  </w:pPr>
                  <w:r w:rsidRPr="00C57E99">
                    <w:rPr>
                      <w:rFonts w:asciiTheme="minorHAnsi" w:hAnsiTheme="minorHAnsi" w:cstheme="minorHAnsi"/>
                      <w:sz w:val="22"/>
                      <w:szCs w:val="22"/>
                    </w:rPr>
                    <w:t xml:space="preserve">Dissemination and engagement </w:t>
                  </w:r>
                </w:p>
              </w:tc>
              <w:tc>
                <w:tcPr>
                  <w:cnfStyle w:val="000010000000" w:firstRow="0" w:lastRow="0" w:firstColumn="0" w:lastColumn="0" w:oddVBand="1" w:evenVBand="0" w:oddHBand="0" w:evenHBand="0" w:firstRowFirstColumn="0" w:firstRowLastColumn="0" w:lastRowFirstColumn="0" w:lastRowLastColumn="0"/>
                  <w:tcW w:w="0" w:type="auto"/>
                </w:tcPr>
                <w:p w14:paraId="25A7B78D" w14:textId="75013B64" w:rsidR="00C57E99" w:rsidRPr="00C57E99" w:rsidRDefault="00C57E99" w:rsidP="00C57E99">
                  <w:pPr>
                    <w:pStyle w:val="Default"/>
                    <w:numPr>
                      <w:ilvl w:val="0"/>
                      <w:numId w:val="2"/>
                    </w:numPr>
                    <w:rPr>
                      <w:rFonts w:asciiTheme="minorHAnsi" w:hAnsiTheme="minorHAnsi" w:cstheme="minorHAnsi"/>
                      <w:sz w:val="22"/>
                      <w:szCs w:val="22"/>
                    </w:rPr>
                  </w:pPr>
                  <w:r w:rsidRPr="00C57E99">
                    <w:rPr>
                      <w:rFonts w:asciiTheme="minorHAnsi" w:hAnsiTheme="minorHAnsi" w:cstheme="minorHAnsi"/>
                      <w:sz w:val="22"/>
                      <w:szCs w:val="22"/>
                    </w:rPr>
                    <w:t>Regional and Global Engagement with AMS Primary care indicators through Publication.</w:t>
                  </w:r>
                </w:p>
                <w:p w14:paraId="6A1A7C05" w14:textId="77777777" w:rsidR="00C57E99" w:rsidRPr="00C57E99" w:rsidRDefault="00C57E99" w:rsidP="00C57E99">
                  <w:pPr>
                    <w:pStyle w:val="Default"/>
                    <w:numPr>
                      <w:ilvl w:val="0"/>
                      <w:numId w:val="2"/>
                    </w:numPr>
                    <w:rPr>
                      <w:rFonts w:asciiTheme="minorHAnsi" w:hAnsiTheme="minorHAnsi" w:cstheme="minorHAnsi"/>
                      <w:sz w:val="22"/>
                      <w:szCs w:val="22"/>
                    </w:rPr>
                  </w:pPr>
                  <w:r w:rsidRPr="00C57E99">
                    <w:rPr>
                      <w:rFonts w:asciiTheme="minorHAnsi" w:hAnsiTheme="minorHAnsi" w:cstheme="minorHAnsi"/>
                      <w:sz w:val="22"/>
                      <w:szCs w:val="22"/>
                    </w:rPr>
                    <w:t xml:space="preserve">Generation of good-quality evidence and awareness of the magnitude of the problem. </w:t>
                  </w:r>
                </w:p>
                <w:p w14:paraId="5203D293" w14:textId="6624FCC2" w:rsidR="001C104F" w:rsidRPr="00C57E99" w:rsidRDefault="001C104F" w:rsidP="00C57E99">
                  <w:pPr>
                    <w:pStyle w:val="Default"/>
                    <w:numPr>
                      <w:ilvl w:val="0"/>
                      <w:numId w:val="2"/>
                    </w:numPr>
                    <w:rPr>
                      <w:rFonts w:asciiTheme="minorHAnsi" w:hAnsiTheme="minorHAnsi" w:cstheme="minorHAnsi"/>
                      <w:sz w:val="22"/>
                      <w:szCs w:val="22"/>
                    </w:rPr>
                  </w:pPr>
                  <w:r w:rsidRPr="00C57E99">
                    <w:rPr>
                      <w:rFonts w:asciiTheme="minorHAnsi" w:hAnsiTheme="minorHAnsi" w:cstheme="minorHAnsi"/>
                      <w:sz w:val="22"/>
                      <w:szCs w:val="22"/>
                    </w:rPr>
                    <w:t>Dissemination</w:t>
                  </w:r>
                  <w:r w:rsidR="00C57E99" w:rsidRPr="00C57E99">
                    <w:rPr>
                      <w:rFonts w:asciiTheme="minorHAnsi" w:hAnsiTheme="minorHAnsi" w:cstheme="minorHAnsi"/>
                      <w:sz w:val="22"/>
                      <w:szCs w:val="22"/>
                    </w:rPr>
                    <w:t xml:space="preserve"> to</w:t>
                  </w:r>
                  <w:r w:rsidRPr="00C57E99">
                    <w:rPr>
                      <w:rFonts w:asciiTheme="minorHAnsi" w:hAnsiTheme="minorHAnsi" w:cstheme="minorHAnsi"/>
                      <w:sz w:val="22"/>
                      <w:szCs w:val="22"/>
                    </w:rPr>
                    <w:t xml:space="preserve"> </w:t>
                  </w:r>
                  <w:r w:rsidR="00C57E99" w:rsidRPr="00C57E99">
                    <w:rPr>
                      <w:rFonts w:asciiTheme="minorHAnsi" w:hAnsiTheme="minorHAnsi" w:cstheme="minorHAnsi"/>
                      <w:sz w:val="22"/>
                      <w:szCs w:val="22"/>
                    </w:rPr>
                    <w:t>Civil Society, Professional Societies, Private Sector, Patient communities</w:t>
                  </w:r>
                </w:p>
              </w:tc>
            </w:tr>
          </w:tbl>
          <w:p w14:paraId="19CD634C" w14:textId="7AA77867" w:rsidR="00697EED" w:rsidRDefault="00697EED" w:rsidP="00B525B9">
            <w:pPr>
              <w:spacing w:line="360" w:lineRule="auto"/>
              <w:jc w:val="both"/>
              <w:rPr>
                <w:rFonts w:asciiTheme="minorHAnsi" w:eastAsia="Times New Roman" w:hAnsiTheme="minorHAnsi" w:cstheme="minorHAnsi"/>
                <w:b w:val="0"/>
                <w:bCs w:val="0"/>
                <w:color w:val="0E101A"/>
                <w:szCs w:val="24"/>
                <w:u w:val="single"/>
                <w:lang w:eastAsia="en-GB"/>
              </w:rPr>
            </w:pPr>
          </w:p>
          <w:p w14:paraId="2401E239" w14:textId="2F2782B0" w:rsidR="00B525B9" w:rsidRPr="00C57E99" w:rsidRDefault="00B525B9" w:rsidP="00B525B9">
            <w:pPr>
              <w:spacing w:line="360" w:lineRule="auto"/>
              <w:jc w:val="both"/>
              <w:rPr>
                <w:rFonts w:asciiTheme="minorHAnsi" w:eastAsia="Times New Roman" w:hAnsiTheme="minorHAnsi" w:cstheme="minorHAnsi"/>
                <w:b w:val="0"/>
                <w:bCs w:val="0"/>
                <w:color w:val="0E101A"/>
                <w:szCs w:val="24"/>
                <w:u w:val="single"/>
                <w:lang w:eastAsia="en-GB"/>
              </w:rPr>
            </w:pPr>
            <w:r w:rsidRPr="00C57E99">
              <w:rPr>
                <w:rFonts w:asciiTheme="minorHAnsi" w:eastAsia="Times New Roman" w:hAnsiTheme="minorHAnsi" w:cstheme="minorHAnsi"/>
                <w:color w:val="0E101A"/>
                <w:szCs w:val="24"/>
                <w:u w:val="single"/>
                <w:lang w:eastAsia="en-GB"/>
              </w:rPr>
              <w:t>Impact:</w:t>
            </w:r>
          </w:p>
          <w:p w14:paraId="499C73AB" w14:textId="65D3FB11" w:rsidR="00FC4D3D" w:rsidRPr="00C57E99" w:rsidRDefault="00335507" w:rsidP="00C57E99">
            <w:pPr>
              <w:spacing w:line="360" w:lineRule="auto"/>
              <w:jc w:val="both"/>
              <w:rPr>
                <w:rFonts w:asciiTheme="minorHAnsi" w:eastAsia="Times New Roman" w:hAnsiTheme="minorHAnsi" w:cstheme="minorHAnsi"/>
                <w:b w:val="0"/>
                <w:bCs w:val="0"/>
                <w:color w:val="0E101A"/>
                <w:szCs w:val="24"/>
                <w:lang w:eastAsia="en-GB"/>
              </w:rPr>
            </w:pPr>
            <w:r w:rsidRPr="00C57E99">
              <w:rPr>
                <w:rFonts w:asciiTheme="minorHAnsi" w:eastAsia="Times New Roman" w:hAnsiTheme="minorHAnsi" w:cstheme="minorHAnsi"/>
                <w:b w:val="0"/>
                <w:bCs w:val="0"/>
                <w:color w:val="0E101A"/>
                <w:szCs w:val="24"/>
                <w:lang w:eastAsia="en-GB"/>
              </w:rPr>
              <w:t>This project aims to contribute to the global discourse on antimicrobial resistance and use surveillance in non-tertiary care settings from a comprehensive and in-depth L</w:t>
            </w:r>
            <w:r w:rsidR="00E62904">
              <w:rPr>
                <w:rFonts w:asciiTheme="minorHAnsi" w:eastAsia="Times New Roman" w:hAnsiTheme="minorHAnsi" w:cstheme="minorHAnsi"/>
                <w:b w:val="0"/>
                <w:bCs w:val="0"/>
                <w:color w:val="0E101A"/>
                <w:szCs w:val="24"/>
                <w:lang w:eastAsia="en-GB"/>
              </w:rPr>
              <w:t xml:space="preserve">AC </w:t>
            </w:r>
            <w:r w:rsidRPr="00C57E99">
              <w:rPr>
                <w:rFonts w:asciiTheme="minorHAnsi" w:eastAsia="Times New Roman" w:hAnsiTheme="minorHAnsi" w:cstheme="minorHAnsi"/>
                <w:b w:val="0"/>
                <w:bCs w:val="0"/>
                <w:color w:val="0E101A"/>
                <w:szCs w:val="24"/>
                <w:lang w:eastAsia="en-GB"/>
              </w:rPr>
              <w:t xml:space="preserve">vantage point. </w:t>
            </w:r>
            <w:r w:rsidR="00E62904" w:rsidRPr="00C57E99">
              <w:rPr>
                <w:rFonts w:asciiTheme="minorHAnsi" w:eastAsia="Times New Roman" w:hAnsiTheme="minorHAnsi" w:cstheme="minorHAnsi"/>
                <w:b w:val="0"/>
                <w:bCs w:val="0"/>
                <w:color w:val="0E101A"/>
                <w:szCs w:val="24"/>
                <w:lang w:eastAsia="en-GB"/>
              </w:rPr>
              <w:t>We hope to advance simultaneously policymaker and government engagement, public advocacy and education, scientific community engagement, patient advocacy groups and clinical care impact</w:t>
            </w:r>
            <w:r w:rsidR="00E62904">
              <w:rPr>
                <w:rFonts w:asciiTheme="minorHAnsi" w:eastAsia="Times New Roman" w:hAnsiTheme="minorHAnsi" w:cstheme="minorHAnsi"/>
                <w:b w:val="0"/>
                <w:bCs w:val="0"/>
                <w:color w:val="0E101A"/>
                <w:szCs w:val="24"/>
                <w:lang w:eastAsia="en-GB"/>
              </w:rPr>
              <w:t xml:space="preserve">. </w:t>
            </w:r>
          </w:p>
        </w:tc>
      </w:tr>
    </w:tbl>
    <w:p w14:paraId="321EC9C6" w14:textId="77777777" w:rsidR="002C791D" w:rsidRPr="00C57E99" w:rsidRDefault="002C791D" w:rsidP="002C791D">
      <w:pPr>
        <w:rPr>
          <w:rFonts w:asciiTheme="minorHAnsi" w:hAnsiTheme="minorHAnsi" w:cstheme="minorHAnsi"/>
        </w:rPr>
      </w:pPr>
    </w:p>
    <w:tbl>
      <w:tblPr>
        <w:tblStyle w:val="GridTable1Light-Accent11"/>
        <w:tblW w:w="0" w:type="auto"/>
        <w:tblInd w:w="0" w:type="dxa"/>
        <w:tblLook w:val="04A0" w:firstRow="1" w:lastRow="0" w:firstColumn="1" w:lastColumn="0" w:noHBand="0" w:noVBand="1"/>
      </w:tblPr>
      <w:tblGrid>
        <w:gridCol w:w="9016"/>
      </w:tblGrid>
      <w:tr w:rsidR="002C791D" w:rsidRPr="00C57E99"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Pr="00C57E99" w:rsidRDefault="002C791D">
            <w:pPr>
              <w:spacing w:line="240" w:lineRule="auto"/>
              <w:rPr>
                <w:rFonts w:asciiTheme="minorHAnsi" w:hAnsiTheme="minorHAnsi" w:cstheme="minorHAnsi"/>
                <w:szCs w:val="24"/>
              </w:rPr>
            </w:pPr>
            <w:r w:rsidRPr="00C57E99">
              <w:rPr>
                <w:rFonts w:asciiTheme="minorHAnsi" w:hAnsiTheme="minorHAnsi" w:cstheme="minorHAnsi"/>
                <w:color w:val="2F5496" w:themeColor="accent1" w:themeShade="BF"/>
                <w:sz w:val="28"/>
                <w:szCs w:val="24"/>
              </w:rPr>
              <w:t>Training and development provision by host:</w:t>
            </w:r>
          </w:p>
        </w:tc>
      </w:tr>
      <w:tr w:rsidR="002C791D" w:rsidRPr="00C57E99"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680B0B70" w:rsidR="002C791D" w:rsidRPr="007B3C1E" w:rsidRDefault="002C791D">
            <w:pPr>
              <w:pStyle w:val="BodyText2"/>
              <w:tabs>
                <w:tab w:val="clear" w:pos="720"/>
              </w:tabs>
              <w:spacing w:after="120"/>
              <w:jc w:val="both"/>
              <w:rPr>
                <w:rFonts w:asciiTheme="minorHAnsi" w:hAnsiTheme="minorHAnsi" w:cs="Arial"/>
                <w:iCs/>
                <w:sz w:val="24"/>
                <w:szCs w:val="24"/>
              </w:rPr>
            </w:pPr>
            <w:r w:rsidRPr="00C57E99">
              <w:rPr>
                <w:rFonts w:asciiTheme="minorHAnsi" w:hAnsiTheme="minorHAnsi" w:cstheme="minorHAnsi"/>
                <w:iCs/>
                <w:sz w:val="24"/>
                <w:szCs w:val="24"/>
              </w:rPr>
              <w:t>Formal training:</w:t>
            </w:r>
            <w:r w:rsidR="00B525B9" w:rsidRPr="00C57E99">
              <w:rPr>
                <w:rFonts w:asciiTheme="minorHAnsi" w:hAnsiTheme="minorHAnsi" w:cstheme="minorHAnsi"/>
                <w:iCs/>
                <w:sz w:val="24"/>
                <w:szCs w:val="24"/>
              </w:rPr>
              <w:t xml:space="preserve"> DPhil Primary Health Care</w:t>
            </w:r>
            <w:r w:rsidR="00AF0C10" w:rsidRPr="00C57E99">
              <w:rPr>
                <w:rFonts w:asciiTheme="minorHAnsi" w:hAnsiTheme="minorHAnsi" w:cstheme="minorHAnsi"/>
                <w:iCs/>
                <w:sz w:val="24"/>
                <w:szCs w:val="24"/>
              </w:rPr>
              <w:t xml:space="preserve"> will cover study design, academic writing, data set integration, qualitative and quantitative research methods, behaviour change science, policy engagement</w:t>
            </w:r>
            <w:r w:rsidR="007B3C1E">
              <w:rPr>
                <w:rFonts w:asciiTheme="minorHAnsi" w:hAnsiTheme="minorHAnsi" w:cstheme="minorHAnsi"/>
                <w:iCs/>
                <w:sz w:val="24"/>
                <w:szCs w:val="24"/>
              </w:rPr>
              <w:t xml:space="preserve">. </w:t>
            </w:r>
            <w:r w:rsidR="007B3C1E">
              <w:rPr>
                <w:rFonts w:asciiTheme="minorHAnsi" w:hAnsiTheme="minorHAnsi" w:cs="Arial"/>
                <w:iCs/>
                <w:sz w:val="24"/>
                <w:szCs w:val="24"/>
              </w:rPr>
              <w:t>Masters level modules on qualitative research and statistical methods will be accessed as needed given the prior experience of the candidate.</w:t>
            </w:r>
          </w:p>
          <w:p w14:paraId="41F975C8" w14:textId="688E8D1F" w:rsidR="002C791D" w:rsidRPr="00C57E99" w:rsidRDefault="002C791D">
            <w:pPr>
              <w:pStyle w:val="BodyText2"/>
              <w:tabs>
                <w:tab w:val="clear" w:pos="720"/>
              </w:tabs>
              <w:spacing w:after="120"/>
              <w:jc w:val="both"/>
              <w:rPr>
                <w:rFonts w:asciiTheme="minorHAnsi" w:hAnsiTheme="minorHAnsi" w:cstheme="minorHAnsi"/>
                <w:iCs/>
                <w:sz w:val="24"/>
                <w:szCs w:val="24"/>
              </w:rPr>
            </w:pPr>
          </w:p>
        </w:tc>
      </w:tr>
      <w:tr w:rsidR="002C791D" w:rsidRPr="00C57E99"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0E3CE753" w:rsidR="002C791D" w:rsidRDefault="002C791D">
            <w:pPr>
              <w:pStyle w:val="BodyText2"/>
              <w:tabs>
                <w:tab w:val="clear" w:pos="720"/>
              </w:tabs>
              <w:spacing w:after="120"/>
              <w:jc w:val="both"/>
              <w:rPr>
                <w:rFonts w:asciiTheme="minorHAnsi" w:hAnsiTheme="minorHAnsi" w:cstheme="minorHAnsi"/>
                <w:b/>
                <w:bCs w:val="0"/>
                <w:iCs/>
                <w:sz w:val="24"/>
                <w:szCs w:val="24"/>
              </w:rPr>
            </w:pPr>
            <w:r w:rsidRPr="00C57E99">
              <w:rPr>
                <w:rFonts w:asciiTheme="minorHAnsi" w:hAnsiTheme="minorHAnsi" w:cstheme="minorHAnsi"/>
                <w:iCs/>
                <w:sz w:val="24"/>
                <w:szCs w:val="24"/>
              </w:rPr>
              <w:t xml:space="preserve">Informal training: </w:t>
            </w:r>
            <w:r w:rsidR="00AF0C10" w:rsidRPr="00C57E99">
              <w:rPr>
                <w:rFonts w:asciiTheme="minorHAnsi" w:hAnsiTheme="minorHAnsi" w:cstheme="minorHAnsi"/>
                <w:iCs/>
                <w:sz w:val="24"/>
                <w:szCs w:val="24"/>
              </w:rPr>
              <w:t xml:space="preserve">Links with data </w:t>
            </w:r>
            <w:r w:rsidR="001F5E8A" w:rsidRPr="00C57E99">
              <w:rPr>
                <w:rFonts w:asciiTheme="minorHAnsi" w:hAnsiTheme="minorHAnsi" w:cstheme="minorHAnsi"/>
                <w:iCs/>
                <w:sz w:val="24"/>
                <w:szCs w:val="24"/>
              </w:rPr>
              <w:t>scientists</w:t>
            </w:r>
            <w:r w:rsidR="00AF0C10" w:rsidRPr="00C57E99">
              <w:rPr>
                <w:rFonts w:asciiTheme="minorHAnsi" w:hAnsiTheme="minorHAnsi" w:cstheme="minorHAnsi"/>
                <w:iCs/>
                <w:sz w:val="24"/>
                <w:szCs w:val="24"/>
              </w:rPr>
              <w:t xml:space="preserve"> in the </w:t>
            </w:r>
            <w:r w:rsidR="001F5E8A" w:rsidRPr="00C57E99">
              <w:rPr>
                <w:rFonts w:asciiTheme="minorHAnsi" w:hAnsiTheme="minorHAnsi" w:cstheme="minorHAnsi"/>
                <w:iCs/>
                <w:sz w:val="24"/>
                <w:szCs w:val="24"/>
              </w:rPr>
              <w:t>Nuffield</w:t>
            </w:r>
            <w:r w:rsidR="00AF0C10" w:rsidRPr="00C57E99">
              <w:rPr>
                <w:rFonts w:asciiTheme="minorHAnsi" w:hAnsiTheme="minorHAnsi" w:cstheme="minorHAnsi"/>
                <w:iCs/>
                <w:sz w:val="24"/>
                <w:szCs w:val="24"/>
              </w:rPr>
              <w:t xml:space="preserve"> Department </w:t>
            </w:r>
            <w:r w:rsidR="001F5E8A" w:rsidRPr="00C57E99">
              <w:rPr>
                <w:rFonts w:asciiTheme="minorHAnsi" w:hAnsiTheme="minorHAnsi" w:cstheme="minorHAnsi"/>
                <w:iCs/>
                <w:sz w:val="24"/>
                <w:szCs w:val="24"/>
              </w:rPr>
              <w:t>of</w:t>
            </w:r>
            <w:r w:rsidR="00AF0C10" w:rsidRPr="00C57E99">
              <w:rPr>
                <w:rFonts w:asciiTheme="minorHAnsi" w:hAnsiTheme="minorHAnsi" w:cstheme="minorHAnsi"/>
                <w:iCs/>
                <w:sz w:val="24"/>
                <w:szCs w:val="24"/>
              </w:rPr>
              <w:t xml:space="preserve"> Primary Care Health </w:t>
            </w:r>
            <w:r w:rsidR="001F5E8A" w:rsidRPr="00C57E99">
              <w:rPr>
                <w:rFonts w:asciiTheme="minorHAnsi" w:hAnsiTheme="minorHAnsi" w:cstheme="minorHAnsi"/>
                <w:iCs/>
                <w:sz w:val="24"/>
                <w:szCs w:val="24"/>
              </w:rPr>
              <w:t>`sciences</w:t>
            </w:r>
            <w:r w:rsidR="00AF0C10" w:rsidRPr="00C57E99">
              <w:rPr>
                <w:rFonts w:asciiTheme="minorHAnsi" w:hAnsiTheme="minorHAnsi" w:cstheme="minorHAnsi"/>
                <w:iCs/>
                <w:sz w:val="24"/>
                <w:szCs w:val="24"/>
              </w:rPr>
              <w:t xml:space="preserve">, including the teams from the Royal College of </w:t>
            </w:r>
            <w:r w:rsidR="001F5E8A" w:rsidRPr="00C57E99">
              <w:rPr>
                <w:rFonts w:asciiTheme="minorHAnsi" w:hAnsiTheme="minorHAnsi" w:cstheme="minorHAnsi"/>
                <w:iCs/>
                <w:sz w:val="24"/>
                <w:szCs w:val="24"/>
              </w:rPr>
              <w:t>General</w:t>
            </w:r>
            <w:r w:rsidR="00AF0C10" w:rsidRPr="00C57E99">
              <w:rPr>
                <w:rFonts w:asciiTheme="minorHAnsi" w:hAnsiTheme="minorHAnsi" w:cstheme="minorHAnsi"/>
                <w:iCs/>
                <w:sz w:val="24"/>
                <w:szCs w:val="24"/>
              </w:rPr>
              <w:t xml:space="preserve"> </w:t>
            </w:r>
            <w:r w:rsidR="001F5E8A" w:rsidRPr="00C57E99">
              <w:rPr>
                <w:rFonts w:asciiTheme="minorHAnsi" w:hAnsiTheme="minorHAnsi" w:cstheme="minorHAnsi"/>
                <w:iCs/>
                <w:sz w:val="24"/>
                <w:szCs w:val="24"/>
              </w:rPr>
              <w:t>Practitioners</w:t>
            </w:r>
            <w:r w:rsidR="00AF0C10" w:rsidRPr="00C57E99">
              <w:rPr>
                <w:rFonts w:asciiTheme="minorHAnsi" w:hAnsiTheme="minorHAnsi" w:cstheme="minorHAnsi"/>
                <w:iCs/>
                <w:sz w:val="24"/>
                <w:szCs w:val="24"/>
              </w:rPr>
              <w:t xml:space="preserve"> Research Surveillance Centre, Open </w:t>
            </w:r>
            <w:r w:rsidR="001F5E8A" w:rsidRPr="00C57E99">
              <w:rPr>
                <w:rFonts w:asciiTheme="minorHAnsi" w:hAnsiTheme="minorHAnsi" w:cstheme="minorHAnsi"/>
                <w:iCs/>
                <w:sz w:val="24"/>
                <w:szCs w:val="24"/>
              </w:rPr>
              <w:t>Prescribing</w:t>
            </w:r>
            <w:r w:rsidR="00AF0C10" w:rsidRPr="00C57E99">
              <w:rPr>
                <w:rFonts w:asciiTheme="minorHAnsi" w:hAnsiTheme="minorHAnsi" w:cstheme="minorHAnsi"/>
                <w:iCs/>
                <w:sz w:val="24"/>
                <w:szCs w:val="24"/>
              </w:rPr>
              <w:t>, and Q Research. We have world leading qualit</w:t>
            </w:r>
            <w:r w:rsidR="001F5E8A" w:rsidRPr="00C57E99">
              <w:rPr>
                <w:rFonts w:asciiTheme="minorHAnsi" w:hAnsiTheme="minorHAnsi" w:cstheme="minorHAnsi"/>
                <w:iCs/>
                <w:sz w:val="24"/>
                <w:szCs w:val="24"/>
              </w:rPr>
              <w:t>ative research</w:t>
            </w:r>
            <w:r w:rsidR="00AF0C10" w:rsidRPr="00C57E99">
              <w:rPr>
                <w:rFonts w:asciiTheme="minorHAnsi" w:hAnsiTheme="minorHAnsi" w:cstheme="minorHAnsi"/>
                <w:iCs/>
                <w:sz w:val="24"/>
                <w:szCs w:val="24"/>
              </w:rPr>
              <w:t xml:space="preserve"> expertise in relation to antimicrobial stewardship</w:t>
            </w:r>
            <w:r w:rsidR="001F5E8A" w:rsidRPr="00C57E99">
              <w:rPr>
                <w:rFonts w:asciiTheme="minorHAnsi" w:hAnsiTheme="minorHAnsi" w:cstheme="minorHAnsi"/>
                <w:iCs/>
                <w:sz w:val="24"/>
                <w:szCs w:val="24"/>
              </w:rPr>
              <w:t xml:space="preserve"> and quantitative analysis</w:t>
            </w:r>
            <w:r w:rsidR="007B3C1E">
              <w:rPr>
                <w:rFonts w:asciiTheme="minorHAnsi" w:hAnsiTheme="minorHAnsi" w:cstheme="minorHAnsi"/>
                <w:iCs/>
                <w:sz w:val="24"/>
                <w:szCs w:val="24"/>
              </w:rPr>
              <w:t>. Training will take the form of:</w:t>
            </w:r>
          </w:p>
          <w:p w14:paraId="51CD5849" w14:textId="77777777" w:rsidR="007B3C1E" w:rsidRPr="007B3C1E" w:rsidRDefault="007B3C1E" w:rsidP="007B3C1E">
            <w:pPr>
              <w:pStyle w:val="BodyText2"/>
              <w:numPr>
                <w:ilvl w:val="0"/>
                <w:numId w:val="5"/>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Fortnightly attendance at infection and Acute Care group seminars</w:t>
            </w:r>
          </w:p>
          <w:p w14:paraId="58562917" w14:textId="77777777" w:rsidR="007B3C1E" w:rsidRPr="007B3C1E" w:rsidRDefault="007B3C1E" w:rsidP="007B3C1E">
            <w:pPr>
              <w:pStyle w:val="BodyText2"/>
              <w:numPr>
                <w:ilvl w:val="0"/>
                <w:numId w:val="5"/>
              </w:numPr>
              <w:tabs>
                <w:tab w:val="clear" w:pos="720"/>
              </w:tabs>
              <w:spacing w:after="120"/>
              <w:jc w:val="both"/>
              <w:rPr>
                <w:rFonts w:asciiTheme="minorHAnsi" w:hAnsiTheme="minorHAnsi" w:cs="Arial"/>
                <w:iCs/>
                <w:sz w:val="24"/>
                <w:szCs w:val="24"/>
              </w:rPr>
            </w:pPr>
            <w:r w:rsidRPr="007B3C1E">
              <w:rPr>
                <w:rFonts w:asciiTheme="minorHAnsi" w:hAnsiTheme="minorHAnsi" w:cs="Arial"/>
                <w:iCs/>
                <w:sz w:val="24"/>
                <w:szCs w:val="24"/>
              </w:rPr>
              <w:lastRenderedPageBreak/>
              <w:t>Departmental seminars</w:t>
            </w:r>
          </w:p>
          <w:p w14:paraId="48A8D0A2" w14:textId="77777777" w:rsidR="007B3C1E" w:rsidRPr="007B3C1E" w:rsidRDefault="007B3C1E" w:rsidP="007B3C1E">
            <w:pPr>
              <w:pStyle w:val="BodyText2"/>
              <w:numPr>
                <w:ilvl w:val="0"/>
                <w:numId w:val="5"/>
              </w:numPr>
              <w:tabs>
                <w:tab w:val="clear" w:pos="720"/>
              </w:tabs>
              <w:spacing w:after="120"/>
              <w:jc w:val="both"/>
              <w:rPr>
                <w:rFonts w:asciiTheme="minorHAnsi" w:hAnsiTheme="minorHAnsi" w:cs="Arial"/>
                <w:iCs/>
                <w:sz w:val="24"/>
                <w:szCs w:val="24"/>
              </w:rPr>
            </w:pPr>
            <w:r w:rsidRPr="007B3C1E">
              <w:rPr>
                <w:rFonts w:asciiTheme="minorHAnsi" w:hAnsiTheme="minorHAnsi" w:cs="Arial"/>
                <w:iCs/>
                <w:sz w:val="24"/>
                <w:szCs w:val="24"/>
              </w:rPr>
              <w:t xml:space="preserve">Intra-departmental training programme offered to doctoral students </w:t>
            </w:r>
          </w:p>
          <w:p w14:paraId="28361409" w14:textId="77777777" w:rsidR="007B3C1E" w:rsidRPr="007B3C1E" w:rsidRDefault="007B3C1E" w:rsidP="007B3C1E">
            <w:pPr>
              <w:pStyle w:val="BodyText2"/>
              <w:numPr>
                <w:ilvl w:val="0"/>
                <w:numId w:val="5"/>
              </w:numPr>
              <w:tabs>
                <w:tab w:val="clear" w:pos="720"/>
              </w:tabs>
              <w:spacing w:after="120"/>
              <w:jc w:val="both"/>
              <w:rPr>
                <w:rFonts w:asciiTheme="minorHAnsi" w:hAnsiTheme="minorHAnsi" w:cs="Arial"/>
                <w:iCs/>
                <w:sz w:val="24"/>
                <w:szCs w:val="24"/>
              </w:rPr>
            </w:pPr>
            <w:r w:rsidRPr="007B3C1E">
              <w:rPr>
                <w:rFonts w:asciiTheme="minorHAnsi" w:hAnsiTheme="minorHAnsi" w:cs="Arial"/>
                <w:iCs/>
                <w:sz w:val="24"/>
                <w:szCs w:val="24"/>
              </w:rPr>
              <w:t>Qualitative and statistical research support clinics</w:t>
            </w:r>
          </w:p>
          <w:p w14:paraId="11ABB53C" w14:textId="22837541" w:rsidR="007B3C1E" w:rsidRPr="007B3C1E" w:rsidRDefault="007B3C1E" w:rsidP="007B3C1E">
            <w:pPr>
              <w:pStyle w:val="BodyText2"/>
              <w:numPr>
                <w:ilvl w:val="0"/>
                <w:numId w:val="5"/>
              </w:numPr>
              <w:tabs>
                <w:tab w:val="clear" w:pos="720"/>
              </w:tabs>
              <w:spacing w:after="120"/>
              <w:jc w:val="both"/>
              <w:rPr>
                <w:rFonts w:asciiTheme="minorHAnsi" w:hAnsiTheme="minorHAnsi" w:cs="Arial"/>
                <w:iCs/>
                <w:sz w:val="24"/>
                <w:szCs w:val="24"/>
              </w:rPr>
            </w:pPr>
            <w:r w:rsidRPr="007B3C1E">
              <w:rPr>
                <w:rFonts w:asciiTheme="minorHAnsi" w:hAnsiTheme="minorHAnsi" w:cs="Arial"/>
                <w:iCs/>
                <w:sz w:val="24"/>
                <w:szCs w:val="24"/>
              </w:rPr>
              <w:t>Opportunities for networking within wide global health community at the university</w:t>
            </w:r>
          </w:p>
          <w:p w14:paraId="54B3D680" w14:textId="3FC8CB95" w:rsidR="002C791D" w:rsidRPr="00C57E99" w:rsidRDefault="002C791D">
            <w:pPr>
              <w:pStyle w:val="BodyText2"/>
              <w:tabs>
                <w:tab w:val="clear" w:pos="720"/>
              </w:tabs>
              <w:spacing w:after="120"/>
              <w:jc w:val="both"/>
              <w:rPr>
                <w:rFonts w:asciiTheme="minorHAnsi" w:hAnsiTheme="minorHAnsi" w:cstheme="minorHAnsi"/>
                <w:iCs/>
                <w:sz w:val="24"/>
                <w:szCs w:val="24"/>
              </w:rPr>
            </w:pPr>
          </w:p>
        </w:tc>
      </w:tr>
      <w:tr w:rsidR="002C791D" w:rsidRPr="00C57E99"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6DB1B302" w:rsidR="002C791D" w:rsidRPr="00C57E99" w:rsidRDefault="002C791D">
            <w:pPr>
              <w:pStyle w:val="BodyText2"/>
              <w:tabs>
                <w:tab w:val="clear" w:pos="720"/>
              </w:tabs>
              <w:spacing w:after="120"/>
              <w:jc w:val="both"/>
              <w:rPr>
                <w:rFonts w:asciiTheme="minorHAnsi" w:hAnsiTheme="minorHAnsi" w:cstheme="minorHAnsi"/>
                <w:iCs/>
                <w:sz w:val="24"/>
                <w:szCs w:val="24"/>
              </w:rPr>
            </w:pPr>
            <w:r w:rsidRPr="00C57E99">
              <w:rPr>
                <w:rFonts w:asciiTheme="minorHAnsi" w:hAnsiTheme="minorHAnsi" w:cstheme="minorHAnsi"/>
                <w:iCs/>
                <w:sz w:val="24"/>
                <w:szCs w:val="24"/>
              </w:rPr>
              <w:lastRenderedPageBreak/>
              <w:t xml:space="preserve">PPIE: </w:t>
            </w:r>
            <w:r w:rsidR="009F4775" w:rsidRPr="00C57E99">
              <w:rPr>
                <w:rFonts w:asciiTheme="minorHAnsi" w:hAnsiTheme="minorHAnsi" w:cstheme="minorHAnsi"/>
                <w:iCs/>
                <w:sz w:val="24"/>
                <w:szCs w:val="24"/>
              </w:rPr>
              <w:t xml:space="preserve">The </w:t>
            </w:r>
            <w:r w:rsidR="001F5E8A" w:rsidRPr="00C57E99">
              <w:rPr>
                <w:rFonts w:asciiTheme="minorHAnsi" w:hAnsiTheme="minorHAnsi" w:cstheme="minorHAnsi"/>
                <w:iCs/>
                <w:sz w:val="24"/>
                <w:szCs w:val="24"/>
              </w:rPr>
              <w:t>Nuffield</w:t>
            </w:r>
            <w:r w:rsidR="009F4775" w:rsidRPr="00C57E99">
              <w:rPr>
                <w:rFonts w:asciiTheme="minorHAnsi" w:hAnsiTheme="minorHAnsi" w:cstheme="minorHAnsi"/>
                <w:iCs/>
                <w:sz w:val="24"/>
                <w:szCs w:val="24"/>
              </w:rPr>
              <w:t xml:space="preserve"> Department of </w:t>
            </w:r>
            <w:r w:rsidR="001F5E8A" w:rsidRPr="00C57E99">
              <w:rPr>
                <w:rFonts w:asciiTheme="minorHAnsi" w:hAnsiTheme="minorHAnsi" w:cstheme="minorHAnsi"/>
                <w:iCs/>
                <w:sz w:val="24"/>
                <w:szCs w:val="24"/>
              </w:rPr>
              <w:t xml:space="preserve">Primary Care Health Sciences will support PPIE input through its </w:t>
            </w:r>
            <w:r w:rsidR="007B3C1E">
              <w:rPr>
                <w:rFonts w:asciiTheme="minorHAnsi" w:hAnsiTheme="minorHAnsi" w:cstheme="minorHAnsi"/>
                <w:iCs/>
                <w:sz w:val="24"/>
                <w:szCs w:val="24"/>
              </w:rPr>
              <w:t xml:space="preserve">dedicated </w:t>
            </w:r>
            <w:r w:rsidR="001F5E8A" w:rsidRPr="00C57E99">
              <w:rPr>
                <w:rFonts w:asciiTheme="minorHAnsi" w:hAnsiTheme="minorHAnsi" w:cstheme="minorHAnsi"/>
                <w:iCs/>
                <w:sz w:val="24"/>
                <w:szCs w:val="24"/>
              </w:rPr>
              <w:t>PPIE coordinator</w:t>
            </w:r>
            <w:r w:rsidR="007B3C1E">
              <w:rPr>
                <w:rFonts w:asciiTheme="minorHAnsi" w:hAnsiTheme="minorHAnsi" w:cstheme="minorHAnsi"/>
                <w:iCs/>
                <w:sz w:val="24"/>
                <w:szCs w:val="24"/>
              </w:rPr>
              <w:t xml:space="preserve"> </w:t>
            </w:r>
            <w:r w:rsidR="007B3C1E">
              <w:rPr>
                <w:rFonts w:asciiTheme="minorHAnsi" w:hAnsiTheme="minorHAnsi" w:cs="Arial"/>
                <w:iCs/>
                <w:sz w:val="24"/>
                <w:szCs w:val="24"/>
              </w:rPr>
              <w:t>who will advise and support bespoke PPI work required to fully embed patients in the research. S</w:t>
            </w:r>
            <w:r w:rsidR="001F5E8A" w:rsidRPr="00C57E99">
              <w:rPr>
                <w:rFonts w:asciiTheme="minorHAnsi" w:hAnsiTheme="minorHAnsi" w:cstheme="minorHAnsi"/>
                <w:iCs/>
                <w:sz w:val="24"/>
                <w:szCs w:val="24"/>
              </w:rPr>
              <w:t xml:space="preserve">tanding PPIE panels that have been assembled and expertise developed specifically to input </w:t>
            </w:r>
            <w:r w:rsidR="007B3C1E" w:rsidRPr="00C57E99">
              <w:rPr>
                <w:rFonts w:asciiTheme="minorHAnsi" w:hAnsiTheme="minorHAnsi" w:cstheme="minorHAnsi"/>
                <w:iCs/>
                <w:sz w:val="24"/>
                <w:szCs w:val="24"/>
              </w:rPr>
              <w:t>into</w:t>
            </w:r>
            <w:r w:rsidR="001F5E8A" w:rsidRPr="00C57E99">
              <w:rPr>
                <w:rFonts w:asciiTheme="minorHAnsi" w:hAnsiTheme="minorHAnsi" w:cstheme="minorHAnsi"/>
                <w:iCs/>
                <w:sz w:val="24"/>
                <w:szCs w:val="24"/>
              </w:rPr>
              <w:t xml:space="preserve"> projects related to infections and their managements. </w:t>
            </w:r>
          </w:p>
          <w:p w14:paraId="2AA894C1" w14:textId="1536ED7F" w:rsidR="002C791D" w:rsidRPr="00C57E99" w:rsidRDefault="002C791D">
            <w:pPr>
              <w:pStyle w:val="BodyText2"/>
              <w:tabs>
                <w:tab w:val="clear" w:pos="720"/>
              </w:tabs>
              <w:spacing w:after="120"/>
              <w:jc w:val="both"/>
              <w:rPr>
                <w:rFonts w:asciiTheme="minorHAnsi" w:hAnsiTheme="minorHAnsi" w:cstheme="minorHAnsi"/>
                <w:iCs/>
                <w:sz w:val="24"/>
                <w:szCs w:val="24"/>
              </w:rPr>
            </w:pPr>
          </w:p>
        </w:tc>
      </w:tr>
    </w:tbl>
    <w:p w14:paraId="0A00210D" w14:textId="77777777" w:rsidR="002C791D" w:rsidRPr="00C57E99" w:rsidRDefault="002C791D" w:rsidP="002C791D">
      <w:pPr>
        <w:rPr>
          <w:rFonts w:asciiTheme="minorHAnsi" w:hAnsiTheme="minorHAnsi" w:cstheme="minorHAnsi"/>
          <w:szCs w:val="24"/>
        </w:rPr>
      </w:pPr>
    </w:p>
    <w:p w14:paraId="28494454" w14:textId="703255DB" w:rsidR="00697EED" w:rsidRPr="00697EED" w:rsidRDefault="00697EED" w:rsidP="00697EED">
      <w:pPr>
        <w:widowControl w:val="0"/>
        <w:autoSpaceDE w:val="0"/>
        <w:autoSpaceDN w:val="0"/>
        <w:adjustRightInd w:val="0"/>
        <w:spacing w:line="240" w:lineRule="auto"/>
        <w:ind w:left="640" w:hanging="640"/>
        <w:rPr>
          <w:rFonts w:ascii="Calibri" w:hAnsi="Calibri" w:cs="Calibri"/>
          <w:noProof/>
          <w:szCs w:val="24"/>
        </w:rPr>
      </w:pPr>
      <w:r>
        <w:rPr>
          <w:rFonts w:asciiTheme="minorHAnsi" w:hAnsiTheme="minorHAnsi" w:cstheme="minorHAnsi"/>
        </w:rPr>
        <w:fldChar w:fldCharType="begin" w:fldLock="1"/>
      </w:r>
      <w:r>
        <w:rPr>
          <w:rFonts w:asciiTheme="minorHAnsi" w:hAnsiTheme="minorHAnsi" w:cstheme="minorHAnsi"/>
        </w:rPr>
        <w:instrText xml:space="preserve">ADDIN Mendeley Bibliography CSL_BIBLIOGRAPHY </w:instrText>
      </w:r>
      <w:r>
        <w:rPr>
          <w:rFonts w:asciiTheme="minorHAnsi" w:hAnsiTheme="minorHAnsi" w:cstheme="minorHAnsi"/>
        </w:rPr>
        <w:fldChar w:fldCharType="separate"/>
      </w:r>
      <w:r w:rsidRPr="00697EED">
        <w:rPr>
          <w:rFonts w:ascii="Calibri" w:hAnsi="Calibri" w:cs="Calibri"/>
          <w:noProof/>
          <w:szCs w:val="24"/>
        </w:rPr>
        <w:t xml:space="preserve">[1] </w:t>
      </w:r>
      <w:r w:rsidRPr="00697EED">
        <w:rPr>
          <w:rFonts w:ascii="Calibri" w:hAnsi="Calibri" w:cs="Calibri"/>
          <w:noProof/>
          <w:szCs w:val="24"/>
        </w:rPr>
        <w:tab/>
        <w:t>GAIHN AR | Global Safe Healthcare | Infection Control | CDC, https://www.cdc.gov/infectioncontrol/global/GAIHN-AR.html (accessed 8 September 2022).</w:t>
      </w:r>
    </w:p>
    <w:p w14:paraId="1DCF0051" w14:textId="77777777" w:rsidR="00697EED" w:rsidRPr="00697EED" w:rsidRDefault="00697EED" w:rsidP="00697EED">
      <w:pPr>
        <w:widowControl w:val="0"/>
        <w:autoSpaceDE w:val="0"/>
        <w:autoSpaceDN w:val="0"/>
        <w:adjustRightInd w:val="0"/>
        <w:spacing w:line="240" w:lineRule="auto"/>
        <w:ind w:left="640" w:hanging="640"/>
        <w:rPr>
          <w:rFonts w:ascii="Calibri" w:hAnsi="Calibri" w:cs="Calibri"/>
          <w:noProof/>
          <w:szCs w:val="24"/>
        </w:rPr>
      </w:pPr>
      <w:r w:rsidRPr="00697EED">
        <w:rPr>
          <w:rFonts w:ascii="Calibri" w:hAnsi="Calibri" w:cs="Calibri"/>
          <w:noProof/>
          <w:szCs w:val="24"/>
        </w:rPr>
        <w:t xml:space="preserve">[2] </w:t>
      </w:r>
      <w:r w:rsidRPr="00697EED">
        <w:rPr>
          <w:rFonts w:ascii="Calibri" w:hAnsi="Calibri" w:cs="Calibri"/>
          <w:noProof/>
          <w:szCs w:val="24"/>
        </w:rPr>
        <w:tab/>
        <w:t xml:space="preserve">Belize Ministry of Health. Belize Health Information  System. </w:t>
      </w:r>
      <w:r w:rsidRPr="00697EED">
        <w:rPr>
          <w:rFonts w:ascii="Calibri" w:hAnsi="Calibri" w:cs="Calibri"/>
          <w:i/>
          <w:iCs/>
          <w:noProof/>
          <w:szCs w:val="24"/>
        </w:rPr>
        <w:t>MOH Belize</w:t>
      </w:r>
      <w:r w:rsidRPr="00697EED">
        <w:rPr>
          <w:rFonts w:ascii="Calibri" w:hAnsi="Calibri" w:cs="Calibri"/>
          <w:noProof/>
          <w:szCs w:val="24"/>
        </w:rPr>
        <w:t xml:space="preserve"> 2009; 1–9.</w:t>
      </w:r>
    </w:p>
    <w:p w14:paraId="294BE6F0" w14:textId="77777777" w:rsidR="00697EED" w:rsidRPr="00697EED" w:rsidRDefault="00697EED" w:rsidP="00697EED">
      <w:pPr>
        <w:widowControl w:val="0"/>
        <w:autoSpaceDE w:val="0"/>
        <w:autoSpaceDN w:val="0"/>
        <w:adjustRightInd w:val="0"/>
        <w:spacing w:line="240" w:lineRule="auto"/>
        <w:ind w:left="640" w:hanging="640"/>
        <w:rPr>
          <w:rFonts w:ascii="Calibri" w:hAnsi="Calibri" w:cs="Calibri"/>
          <w:noProof/>
          <w:szCs w:val="24"/>
        </w:rPr>
      </w:pPr>
      <w:r w:rsidRPr="00697EED">
        <w:rPr>
          <w:rFonts w:ascii="Calibri" w:hAnsi="Calibri" w:cs="Calibri"/>
          <w:noProof/>
          <w:szCs w:val="24"/>
        </w:rPr>
        <w:t xml:space="preserve">[3] </w:t>
      </w:r>
      <w:r w:rsidRPr="00697EED">
        <w:rPr>
          <w:rFonts w:ascii="Calibri" w:hAnsi="Calibri" w:cs="Calibri"/>
          <w:noProof/>
          <w:szCs w:val="24"/>
        </w:rPr>
        <w:tab/>
        <w:t xml:space="preserve">García-Betancur JC, Appel TM, Esparza G, et al. Update on the epidemiology of carbapenemases in Latin America and the Caribbean. </w:t>
      </w:r>
      <w:r w:rsidRPr="00697EED">
        <w:rPr>
          <w:rFonts w:ascii="Calibri" w:hAnsi="Calibri" w:cs="Calibri"/>
          <w:i/>
          <w:iCs/>
          <w:noProof/>
          <w:szCs w:val="24"/>
        </w:rPr>
        <w:t>Expert Review of Anti-Infective Therapy</w:t>
      </w:r>
      <w:r w:rsidRPr="00697EED">
        <w:rPr>
          <w:rFonts w:ascii="Calibri" w:hAnsi="Calibri" w:cs="Calibri"/>
          <w:noProof/>
          <w:szCs w:val="24"/>
        </w:rPr>
        <w:t xml:space="preserve"> 2021; 19: 197–213.</w:t>
      </w:r>
    </w:p>
    <w:p w14:paraId="5FE751EA" w14:textId="77777777" w:rsidR="00697EED" w:rsidRPr="00697EED" w:rsidRDefault="00697EED" w:rsidP="00697EED">
      <w:pPr>
        <w:widowControl w:val="0"/>
        <w:autoSpaceDE w:val="0"/>
        <w:autoSpaceDN w:val="0"/>
        <w:adjustRightInd w:val="0"/>
        <w:spacing w:line="240" w:lineRule="auto"/>
        <w:ind w:left="640" w:hanging="640"/>
        <w:rPr>
          <w:rFonts w:ascii="Calibri" w:hAnsi="Calibri" w:cs="Calibri"/>
          <w:noProof/>
          <w:szCs w:val="24"/>
        </w:rPr>
      </w:pPr>
      <w:r w:rsidRPr="00697EED">
        <w:rPr>
          <w:rFonts w:ascii="Calibri" w:hAnsi="Calibri" w:cs="Calibri"/>
          <w:noProof/>
          <w:szCs w:val="24"/>
        </w:rPr>
        <w:t xml:space="preserve">[4] </w:t>
      </w:r>
      <w:r w:rsidRPr="00697EED">
        <w:rPr>
          <w:rFonts w:ascii="Calibri" w:hAnsi="Calibri" w:cs="Calibri"/>
          <w:noProof/>
          <w:szCs w:val="24"/>
        </w:rPr>
        <w:tab/>
        <w:t xml:space="preserve">MacPherson EE, Reynolds J, Sanudi E, et al. Understanding antimicrobial resistance through the lens of antibiotic vulnerabilities in primary health care in rural Malawi. </w:t>
      </w:r>
      <w:r w:rsidRPr="00697EED">
        <w:rPr>
          <w:rFonts w:ascii="Calibri" w:hAnsi="Calibri" w:cs="Calibri"/>
          <w:i/>
          <w:iCs/>
          <w:noProof/>
          <w:szCs w:val="24"/>
        </w:rPr>
        <w:t>https://doi.org/101080/1744169220212015615</w:t>
      </w:r>
      <w:r w:rsidRPr="00697EED">
        <w:rPr>
          <w:rFonts w:ascii="Calibri" w:hAnsi="Calibri" w:cs="Calibri"/>
          <w:noProof/>
          <w:szCs w:val="24"/>
        </w:rPr>
        <w:t xml:space="preserve"> 2021; 1–17.</w:t>
      </w:r>
    </w:p>
    <w:p w14:paraId="483E57D9" w14:textId="77777777" w:rsidR="00697EED" w:rsidRPr="00697EED" w:rsidRDefault="00697EED" w:rsidP="00697EED">
      <w:pPr>
        <w:widowControl w:val="0"/>
        <w:autoSpaceDE w:val="0"/>
        <w:autoSpaceDN w:val="0"/>
        <w:adjustRightInd w:val="0"/>
        <w:spacing w:line="240" w:lineRule="auto"/>
        <w:ind w:left="640" w:hanging="640"/>
        <w:rPr>
          <w:rFonts w:ascii="Calibri" w:hAnsi="Calibri" w:cs="Calibri"/>
          <w:noProof/>
        </w:rPr>
      </w:pPr>
      <w:r w:rsidRPr="00697EED">
        <w:rPr>
          <w:rFonts w:ascii="Calibri" w:hAnsi="Calibri" w:cs="Calibri"/>
          <w:noProof/>
          <w:szCs w:val="24"/>
        </w:rPr>
        <w:t xml:space="preserve">[5] </w:t>
      </w:r>
      <w:r w:rsidRPr="00697EED">
        <w:rPr>
          <w:rFonts w:ascii="Calibri" w:hAnsi="Calibri" w:cs="Calibri"/>
          <w:noProof/>
          <w:szCs w:val="24"/>
        </w:rPr>
        <w:tab/>
        <w:t xml:space="preserve">Creswell JW, Clark VLP. </w:t>
      </w:r>
      <w:r w:rsidRPr="00697EED">
        <w:rPr>
          <w:rFonts w:ascii="Calibri" w:hAnsi="Calibri" w:cs="Calibri"/>
          <w:i/>
          <w:iCs/>
          <w:noProof/>
          <w:szCs w:val="24"/>
        </w:rPr>
        <w:t>Designing and conducting mixed methods research</w:t>
      </w:r>
      <w:r w:rsidRPr="00697EED">
        <w:rPr>
          <w:rFonts w:ascii="Calibri" w:hAnsi="Calibri" w:cs="Calibri"/>
          <w:noProof/>
          <w:szCs w:val="24"/>
        </w:rPr>
        <w:t>. 3rd ed. Thousand Oaks, CA: SAGE Publications Inc., 2017.</w:t>
      </w:r>
    </w:p>
    <w:p w14:paraId="5D1FAEC9" w14:textId="07E17AD8" w:rsidR="002C791D" w:rsidRPr="00C57E99" w:rsidRDefault="00697EED">
      <w:pPr>
        <w:rPr>
          <w:rFonts w:asciiTheme="minorHAnsi" w:hAnsiTheme="minorHAnsi" w:cstheme="minorHAnsi"/>
        </w:rPr>
      </w:pPr>
      <w:r>
        <w:rPr>
          <w:rFonts w:asciiTheme="minorHAnsi" w:hAnsiTheme="minorHAnsi" w:cstheme="minorHAnsi"/>
        </w:rPr>
        <w:fldChar w:fldCharType="end"/>
      </w:r>
    </w:p>
    <w:sectPr w:rsidR="002C791D" w:rsidRPr="00C57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9B2"/>
    <w:multiLevelType w:val="hybridMultilevel"/>
    <w:tmpl w:val="DBDE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40BD5"/>
    <w:multiLevelType w:val="hybridMultilevel"/>
    <w:tmpl w:val="1BF0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C362E"/>
    <w:multiLevelType w:val="hybridMultilevel"/>
    <w:tmpl w:val="81A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772F0"/>
    <w:multiLevelType w:val="hybridMultilevel"/>
    <w:tmpl w:val="780C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34AF9"/>
    <w:multiLevelType w:val="multilevel"/>
    <w:tmpl w:val="01B4C204"/>
    <w:lvl w:ilvl="0">
      <w:start w:val="1"/>
      <w:numFmt w:val="decimal"/>
      <w:lvlText w:val="%1."/>
      <w:lvlJc w:val="left"/>
      <w:pPr>
        <w:ind w:left="1068" w:hanging="360"/>
      </w:pPr>
    </w:lvl>
    <w:lvl w:ilvl="1">
      <w:start w:val="1"/>
      <w:numFmt w:val="decimal"/>
      <w:lvlText w:val="%2."/>
      <w:lvlJc w:val="left"/>
      <w:pPr>
        <w:ind w:left="1068"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LMwNDK2NDc0MjRR0lEKTi0uzszPAykwrgUAdSZ37ywAAAA="/>
  </w:docVars>
  <w:rsids>
    <w:rsidRoot w:val="002C791D"/>
    <w:rsid w:val="00000056"/>
    <w:rsid w:val="0001254D"/>
    <w:rsid w:val="0002590B"/>
    <w:rsid w:val="00044D1E"/>
    <w:rsid w:val="000627F2"/>
    <w:rsid w:val="000E0DE0"/>
    <w:rsid w:val="000E3290"/>
    <w:rsid w:val="00107E59"/>
    <w:rsid w:val="00131119"/>
    <w:rsid w:val="00181351"/>
    <w:rsid w:val="001A3D8C"/>
    <w:rsid w:val="001A5C26"/>
    <w:rsid w:val="001C104F"/>
    <w:rsid w:val="001F5E8A"/>
    <w:rsid w:val="00234E8B"/>
    <w:rsid w:val="002C791D"/>
    <w:rsid w:val="00323F5C"/>
    <w:rsid w:val="00335507"/>
    <w:rsid w:val="003C43E9"/>
    <w:rsid w:val="004204B8"/>
    <w:rsid w:val="004230A9"/>
    <w:rsid w:val="004F7EC9"/>
    <w:rsid w:val="00594738"/>
    <w:rsid w:val="005D20C8"/>
    <w:rsid w:val="005F6314"/>
    <w:rsid w:val="00622E02"/>
    <w:rsid w:val="006277F6"/>
    <w:rsid w:val="00676ACB"/>
    <w:rsid w:val="00697EED"/>
    <w:rsid w:val="0071401C"/>
    <w:rsid w:val="00724141"/>
    <w:rsid w:val="00724FAC"/>
    <w:rsid w:val="007301F2"/>
    <w:rsid w:val="00734ED2"/>
    <w:rsid w:val="00761560"/>
    <w:rsid w:val="00790F93"/>
    <w:rsid w:val="007911E4"/>
    <w:rsid w:val="00793B67"/>
    <w:rsid w:val="007A2235"/>
    <w:rsid w:val="007B3C1E"/>
    <w:rsid w:val="007B42BB"/>
    <w:rsid w:val="007C78B4"/>
    <w:rsid w:val="007D0DA8"/>
    <w:rsid w:val="00804117"/>
    <w:rsid w:val="00853F68"/>
    <w:rsid w:val="008F7233"/>
    <w:rsid w:val="009303B1"/>
    <w:rsid w:val="00962530"/>
    <w:rsid w:val="009B7CA7"/>
    <w:rsid w:val="009F4775"/>
    <w:rsid w:val="00A66C7A"/>
    <w:rsid w:val="00AA2FC6"/>
    <w:rsid w:val="00AF0C10"/>
    <w:rsid w:val="00B43B54"/>
    <w:rsid w:val="00B525B9"/>
    <w:rsid w:val="00B92973"/>
    <w:rsid w:val="00C55227"/>
    <w:rsid w:val="00C57E99"/>
    <w:rsid w:val="00C859D5"/>
    <w:rsid w:val="00CC1011"/>
    <w:rsid w:val="00CE0A5E"/>
    <w:rsid w:val="00CF3C13"/>
    <w:rsid w:val="00D12D29"/>
    <w:rsid w:val="00D57ED7"/>
    <w:rsid w:val="00D914E0"/>
    <w:rsid w:val="00DC01A8"/>
    <w:rsid w:val="00E1019A"/>
    <w:rsid w:val="00E14890"/>
    <w:rsid w:val="00E258CC"/>
    <w:rsid w:val="00E62904"/>
    <w:rsid w:val="00E85866"/>
    <w:rsid w:val="00EB157B"/>
    <w:rsid w:val="00F45CBE"/>
    <w:rsid w:val="00F76E81"/>
    <w:rsid w:val="00F93503"/>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customStyle="1" w:styleId="Default">
    <w:name w:val="Default"/>
    <w:rsid w:val="0071401C"/>
    <w:pPr>
      <w:autoSpaceDE w:val="0"/>
      <w:autoSpaceDN w:val="0"/>
      <w:adjustRightInd w:val="0"/>
      <w:spacing w:after="0" w:line="240" w:lineRule="auto"/>
    </w:pPr>
    <w:rPr>
      <w:rFonts w:ascii="Avenir Next LT Pro" w:hAnsi="Avenir Next LT Pro" w:cs="Avenir Next LT Pro"/>
      <w:color w:val="000000"/>
      <w:sz w:val="24"/>
      <w:szCs w:val="24"/>
    </w:rPr>
  </w:style>
  <w:style w:type="table" w:styleId="PlainTable2">
    <w:name w:val="Plain Table 2"/>
    <w:basedOn w:val="TableNormal"/>
    <w:uiPriority w:val="42"/>
    <w:rsid w:val="00C57E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34ED2"/>
    <w:rPr>
      <w:sz w:val="16"/>
      <w:szCs w:val="16"/>
    </w:rPr>
  </w:style>
  <w:style w:type="paragraph" w:styleId="CommentText">
    <w:name w:val="annotation text"/>
    <w:basedOn w:val="Normal"/>
    <w:link w:val="CommentTextChar"/>
    <w:uiPriority w:val="99"/>
    <w:unhideWhenUsed/>
    <w:rsid w:val="00734ED2"/>
    <w:pPr>
      <w:spacing w:line="240" w:lineRule="auto"/>
    </w:pPr>
    <w:rPr>
      <w:sz w:val="20"/>
    </w:rPr>
  </w:style>
  <w:style w:type="character" w:customStyle="1" w:styleId="CommentTextChar">
    <w:name w:val="Comment Text Char"/>
    <w:basedOn w:val="DefaultParagraphFont"/>
    <w:link w:val="CommentText"/>
    <w:uiPriority w:val="99"/>
    <w:rsid w:val="00734ED2"/>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734ED2"/>
    <w:rPr>
      <w:b/>
      <w:bCs/>
    </w:rPr>
  </w:style>
  <w:style w:type="character" w:customStyle="1" w:styleId="CommentSubjectChar">
    <w:name w:val="Comment Subject Char"/>
    <w:basedOn w:val="CommentTextChar"/>
    <w:link w:val="CommentSubject"/>
    <w:uiPriority w:val="99"/>
    <w:semiHidden/>
    <w:rsid w:val="00734ED2"/>
    <w:rPr>
      <w:rFonts w:ascii="Corbel" w:hAnsi="Corbe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0517">
      <w:bodyDiv w:val="1"/>
      <w:marLeft w:val="0"/>
      <w:marRight w:val="0"/>
      <w:marTop w:val="0"/>
      <w:marBottom w:val="0"/>
      <w:divBdr>
        <w:top w:val="none" w:sz="0" w:space="0" w:color="auto"/>
        <w:left w:val="none" w:sz="0" w:space="0" w:color="auto"/>
        <w:bottom w:val="none" w:sz="0" w:space="0" w:color="auto"/>
        <w:right w:val="none" w:sz="0" w:space="0" w:color="auto"/>
      </w:divBdr>
      <w:divsChild>
        <w:div w:id="1069422612">
          <w:marLeft w:val="0"/>
          <w:marRight w:val="0"/>
          <w:marTop w:val="0"/>
          <w:marBottom w:val="0"/>
          <w:divBdr>
            <w:top w:val="none" w:sz="0" w:space="0" w:color="auto"/>
            <w:left w:val="none" w:sz="0" w:space="0" w:color="auto"/>
            <w:bottom w:val="none" w:sz="0" w:space="0" w:color="auto"/>
            <w:right w:val="none" w:sz="0" w:space="0" w:color="auto"/>
          </w:divBdr>
        </w:div>
        <w:div w:id="1388411089">
          <w:marLeft w:val="0"/>
          <w:marRight w:val="0"/>
          <w:marTop w:val="0"/>
          <w:marBottom w:val="0"/>
          <w:divBdr>
            <w:top w:val="none" w:sz="0" w:space="0" w:color="auto"/>
            <w:left w:val="none" w:sz="0" w:space="0" w:color="auto"/>
            <w:bottom w:val="none" w:sz="0" w:space="0" w:color="auto"/>
            <w:right w:val="none" w:sz="0" w:space="0" w:color="auto"/>
          </w:divBdr>
        </w:div>
      </w:divsChild>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41392C"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6C"/>
    <w:rsid w:val="00010390"/>
    <w:rsid w:val="00120E3F"/>
    <w:rsid w:val="002B666C"/>
    <w:rsid w:val="0041392C"/>
    <w:rsid w:val="005A0F3D"/>
    <w:rsid w:val="00630047"/>
    <w:rsid w:val="00861B6E"/>
    <w:rsid w:val="009766B2"/>
    <w:rsid w:val="00E8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4162-5CCC-4A55-BA03-E40B0F1D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9881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2022-09-09T10:32:00Z</dcterms:created>
  <dcterms:modified xsi:type="dcterms:W3CDTF">2022-09-09T10:32:00Z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58cd7c27-6994-3313-b27f-9f73791abcb8</vt:lpwstr>
  </property>
  <property fmtid="{D5CDD505-2E9C-101B-9397-08002B2CF9AE}" pid="4" name="Mendeley Citation Style_1">
    <vt:lpwstr>http://www.zotero.org/styles/sage-vancouver-brackets</vt:lpwstr>
  </property>
</Properties>
</file>