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Pr="00323521" w:rsidR="00FF6AEA" w:rsidTr="0ED09111" w14:paraId="40F615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4E3BC1" w:rsidR="00FF6AEA" w:rsidRDefault="00FF6AEA" w14:paraId="3D6AB031" w14:textId="361FD6DD">
            <w:pP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Host department:</w:t>
            </w:r>
            <w:sdt>
              <w:sdtPr>
                <w:rPr>
                  <w:rFonts w:asciiTheme="minorHAnsi" w:hAnsiTheme="minorHAnsi"/>
                  <w:color w:val="2E74B5" w:themeColor="accent1" w:themeShade="BF"/>
                  <w:sz w:val="28"/>
                  <w:szCs w:val="24"/>
                </w:rPr>
                <w:id w:val="276916200"/>
                <w:placeholder>
                  <w:docPart w:val="A8FA2247D3034A4B95677780CBA96BF9"/>
                </w:placeholder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</w:sdtPr>
              <w:sdtEndPr/>
              <w:sdtContent>
                <w:r w:rsidR="008A600A">
                  <w:rPr>
                    <w:rFonts w:asciiTheme="minorHAnsi" w:hAnsiTheme="minorHAnsi"/>
                    <w:color w:val="2E74B5" w:themeColor="accent1" w:themeShade="BF"/>
                    <w:sz w:val="28"/>
                    <w:szCs w:val="24"/>
                  </w:rPr>
                  <w:t xml:space="preserve"> Bristol</w:t>
                </w:r>
              </w:sdtContent>
            </w:sdt>
          </w:p>
        </w:tc>
      </w:tr>
      <w:tr w:rsidRPr="00323521" w:rsidR="008A5DEB" w:rsidTr="0ED09111" w14:paraId="2A8FCC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8A5DEB" w:rsidRDefault="00FF6AEA" w14:paraId="0788EA43" w14:textId="1093D40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Project </w:t>
            </w:r>
            <w:r w:rsidRPr="004E3BC1" w:rsidR="008A5DEB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Title:</w:t>
            </w:r>
          </w:p>
        </w:tc>
      </w:tr>
      <w:tr w:rsidRPr="00323521" w:rsidR="008A5DEB" w:rsidTr="0ED09111" w14:paraId="082EE4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2671E9" w:rsidR="000F320E" w:rsidP="008A5DEB" w:rsidRDefault="00EE0750" w14:paraId="7173F29A" w14:textId="4FF098EC">
            <w:pPr>
              <w:spacing w:after="120"/>
            </w:pPr>
            <w:r w:rsidRPr="0062718D">
              <w:rPr>
                <w:b w:val="0"/>
                <w:bCs w:val="0"/>
              </w:rPr>
              <w:t xml:space="preserve">Improving the </w:t>
            </w:r>
            <w:r w:rsidRPr="0062718D" w:rsidR="0062718D">
              <w:rPr>
                <w:b w:val="0"/>
                <w:bCs w:val="0"/>
              </w:rPr>
              <w:t>timeliness of treatment</w:t>
            </w:r>
            <w:r w:rsidR="00437B12">
              <w:rPr>
                <w:b w:val="0"/>
                <w:bCs w:val="0"/>
              </w:rPr>
              <w:t xml:space="preserve"> of </w:t>
            </w:r>
            <w:r w:rsidRPr="0062718D" w:rsidR="00437B12">
              <w:rPr>
                <w:b w:val="0"/>
                <w:bCs w:val="0"/>
              </w:rPr>
              <w:t>herpes zoster (shingles)</w:t>
            </w:r>
            <w:r w:rsidRPr="0062718D" w:rsidR="0062718D">
              <w:rPr>
                <w:b w:val="0"/>
                <w:bCs w:val="0"/>
              </w:rPr>
              <w:t xml:space="preserve">, and our understanding of the impact of frailty on outcomes in </w:t>
            </w:r>
            <w:r w:rsidRPr="0062718D" w:rsidR="00EE0BF6">
              <w:rPr>
                <w:b w:val="0"/>
                <w:bCs w:val="0"/>
              </w:rPr>
              <w:t>in primary care.</w:t>
            </w:r>
          </w:p>
        </w:tc>
      </w:tr>
      <w:tr w:rsidRPr="00323521" w:rsidR="00E0356E" w:rsidTr="0ED09111" w14:paraId="4977ED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E0356E" w:rsidRDefault="00E0356E" w14:paraId="0A0A5552" w14:textId="1383B8B3">
            <w:pPr>
              <w:rPr>
                <w:rFonts w:asciiTheme="minorHAnsi" w:hAnsiTheme="minorHAnsi"/>
                <w:szCs w:val="24"/>
              </w:rPr>
            </w:pPr>
            <w:r w:rsidRP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Proposed supervisory team:</w:t>
            </w:r>
          </w:p>
        </w:tc>
      </w:tr>
      <w:tr w:rsidRPr="00323521" w:rsidR="00E0356E" w:rsidTr="0ED09111" w14:paraId="6C401C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6C31D6" w:rsidR="00CE12FD" w:rsidP="00AC6923" w:rsidRDefault="008465A5" w14:paraId="4976C3BE" w14:textId="7C5292F1">
            <w:r w:rsidR="008465A5">
              <w:rPr/>
              <w:t>Matthew Ridd</w:t>
            </w:r>
            <w:r w:rsidR="008465A5">
              <w:rPr>
                <w:b w:val="0"/>
                <w:bCs w:val="0"/>
              </w:rPr>
              <w:t>, GP and Professor of Primary Health Care, University of Bristol.  Chief Investigator of the Amitriptyline for the prevention of post-herpetic neuralgia (ATHENA) trial.</w:t>
            </w:r>
            <w:r w:rsidR="00AC6923">
              <w:rPr>
                <w:b w:val="0"/>
                <w:bCs w:val="0"/>
              </w:rPr>
              <w:t xml:space="preserve"> </w:t>
            </w:r>
            <w:r>
              <w:br/>
            </w:r>
            <w:r w:rsidR="0021271C">
              <w:rPr/>
              <w:t>Oliver van Hecke</w:t>
            </w:r>
            <w:r w:rsidR="0021271C">
              <w:rPr>
                <w:b w:val="0"/>
                <w:bCs w:val="0"/>
              </w:rPr>
              <w:t>,</w:t>
            </w:r>
            <w:r w:rsidR="00BF479A">
              <w:rPr>
                <w:b w:val="0"/>
                <w:bCs w:val="0"/>
              </w:rPr>
              <w:t xml:space="preserve"> GP and NIHR Academic Clinical Lecturer, University of Oxford</w:t>
            </w:r>
            <w:r w:rsidR="00AC6923">
              <w:rPr>
                <w:b w:val="0"/>
                <w:bCs w:val="0"/>
              </w:rPr>
              <w:t>.</w:t>
            </w:r>
            <w:r w:rsidR="005E131D">
              <w:rPr>
                <w:b w:val="0"/>
                <w:bCs w:val="0"/>
              </w:rPr>
              <w:t xml:space="preserve"> Principal Investigator on ATHENA.</w:t>
            </w:r>
            <w:r w:rsidR="00AC6923">
              <w:rPr>
                <w:b w:val="0"/>
                <w:bCs w:val="0"/>
              </w:rPr>
              <w:t xml:space="preserve"> </w:t>
            </w:r>
            <w:r>
              <w:br/>
            </w:r>
            <w:r w:rsidR="000F1AA5">
              <w:rPr/>
              <w:t>Stephania MacNeill</w:t>
            </w:r>
            <w:r w:rsidR="000F1AA5">
              <w:rPr>
                <w:b w:val="0"/>
                <w:bCs w:val="0"/>
              </w:rPr>
              <w:t xml:space="preserve">, </w:t>
            </w:r>
            <w:r w:rsidR="00551583">
              <w:rPr>
                <w:b w:val="0"/>
                <w:bCs w:val="0"/>
              </w:rPr>
              <w:t>Senior Lecturer in Medical Statistics, University of Bristol.  Senior statistician on the ATHENA trial</w:t>
            </w:r>
            <w:r w:rsidR="00AC6923">
              <w:rPr>
                <w:b w:val="0"/>
                <w:bCs w:val="0"/>
              </w:rPr>
              <w:t xml:space="preserve">. </w:t>
            </w:r>
            <w:r>
              <w:br/>
            </w:r>
            <w:r w:rsidR="00CE12FD">
              <w:rPr/>
              <w:t>Jonathan Banks</w:t>
            </w:r>
            <w:r w:rsidR="00CE12FD">
              <w:rPr>
                <w:b w:val="0"/>
                <w:bCs w:val="0"/>
              </w:rPr>
              <w:t xml:space="preserve">, </w:t>
            </w:r>
            <w:r w:rsidR="00670268">
              <w:rPr>
                <w:b w:val="0"/>
                <w:bCs w:val="0"/>
              </w:rPr>
              <w:t xml:space="preserve">Research Fellow, </w:t>
            </w:r>
            <w:r w:rsidR="00670268">
              <w:rPr>
                <w:b w:val="0"/>
                <w:bCs w:val="0"/>
              </w:rPr>
              <w:t xml:space="preserve">University of Bristol.  Senior </w:t>
            </w:r>
            <w:r w:rsidR="00670268">
              <w:rPr>
                <w:b w:val="0"/>
                <w:bCs w:val="0"/>
              </w:rPr>
              <w:t>qualitative researcher</w:t>
            </w:r>
            <w:r w:rsidR="00670268">
              <w:rPr>
                <w:b w:val="0"/>
                <w:bCs w:val="0"/>
              </w:rPr>
              <w:t xml:space="preserve"> on the ATHENA trial </w:t>
            </w:r>
          </w:p>
        </w:tc>
      </w:tr>
      <w:tr w:rsidRPr="00323521" w:rsidR="00787EF3" w:rsidTr="0ED09111" w14:paraId="6F63D8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787EF3" w:rsidR="00787EF3" w:rsidP="00787EF3" w:rsidRDefault="00787EF3" w14:paraId="0770045B" w14:textId="2C76F51A">
            <w:pPr>
              <w:rPr>
                <w:rFonts w:ascii="Calibri" w:hAnsi="Calibri" w:cs="Calibri"/>
                <w:b w:val="0"/>
                <w:color w:val="2E74B5" w:themeColor="accent1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Potential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for cross consortium networking and educational</w:t>
            </w: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o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pportunities:</w:t>
            </w:r>
          </w:p>
        </w:tc>
      </w:tr>
      <w:tr w:rsidRPr="00323521" w:rsidR="00787EF3" w:rsidTr="0ED09111" w14:paraId="3C92EF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8F6020" w:rsidR="00715020" w:rsidP="005D0651" w:rsidRDefault="00715020" w14:paraId="13BF47B2" w14:textId="4D3F66A6">
            <w:pPr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8F6020">
              <w:rPr>
                <w:rFonts w:asciiTheme="minorHAnsi" w:hAnsiTheme="minorHAnsi"/>
                <w:b w:val="0"/>
                <w:bCs w:val="0"/>
                <w:szCs w:val="24"/>
              </w:rPr>
              <w:t xml:space="preserve">This project will use the </w:t>
            </w:r>
            <w:r w:rsidRPr="008862C6">
              <w:rPr>
                <w:rFonts w:asciiTheme="minorHAnsi" w:hAnsiTheme="minorHAnsi"/>
                <w:szCs w:val="24"/>
              </w:rPr>
              <w:t>cross-discipline</w:t>
            </w:r>
            <w:r w:rsidRPr="008F6020">
              <w:rPr>
                <w:rFonts w:asciiTheme="minorHAnsi" w:hAnsiTheme="minorHAnsi"/>
                <w:b w:val="0"/>
                <w:bCs w:val="0"/>
                <w:szCs w:val="24"/>
              </w:rPr>
              <w:t xml:space="preserve"> input from professional organisations such as NeuPSIG (a special interest group of the International Association for the Study of Pain, IASP) who</w:t>
            </w:r>
            <w:r w:rsidRPr="008F6020" w:rsidR="00346AA9">
              <w:rPr>
                <w:rFonts w:asciiTheme="minorHAnsi" w:hAnsiTheme="minorHAnsi"/>
                <w:b w:val="0"/>
                <w:bCs w:val="0"/>
                <w:szCs w:val="24"/>
              </w:rPr>
              <w:t xml:space="preserve">se aim is to </w:t>
            </w:r>
            <w:r w:rsidRPr="008F6020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</w:p>
          <w:p w:rsidRPr="00BA4C1A" w:rsidR="00787EF3" w:rsidP="00A808EA" w:rsidRDefault="00715020" w14:paraId="220F35E2" w14:textId="285849A1">
            <w:pPr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8F6020">
              <w:rPr>
                <w:rFonts w:asciiTheme="minorHAnsi" w:hAnsiTheme="minorHAnsi"/>
                <w:b w:val="0"/>
                <w:bCs w:val="0"/>
                <w:szCs w:val="24"/>
              </w:rPr>
              <w:t>advance the understanding of mechanisms, assessment, prevention, and treatment of neuropathic pain</w:t>
            </w:r>
            <w:r w:rsidRPr="008F6020" w:rsidR="00CC2AE6">
              <w:rPr>
                <w:rFonts w:asciiTheme="minorHAnsi" w:hAnsiTheme="minorHAnsi"/>
                <w:b w:val="0"/>
                <w:bCs w:val="0"/>
                <w:szCs w:val="24"/>
              </w:rPr>
              <w:t xml:space="preserve"> (</w:t>
            </w:r>
            <w:hyperlink w:history="1" r:id="rId8">
              <w:r w:rsidRPr="008F6020" w:rsidR="008861AB">
                <w:rPr>
                  <w:rStyle w:val="Hyperlink"/>
                  <w:rFonts w:asciiTheme="minorHAnsi" w:hAnsiTheme="minorHAnsi"/>
                  <w:b w:val="0"/>
                  <w:bCs w:val="0"/>
                  <w:szCs w:val="24"/>
                </w:rPr>
                <w:t>www.iasp-pain.org/group/neuropathic-pain-neupsig/</w:t>
              </w:r>
            </w:hyperlink>
            <w:r w:rsidRPr="008F6020" w:rsidR="00CC2AE6">
              <w:rPr>
                <w:rFonts w:asciiTheme="minorHAnsi" w:hAnsiTheme="minorHAnsi"/>
                <w:b w:val="0"/>
                <w:bCs w:val="0"/>
                <w:szCs w:val="24"/>
              </w:rPr>
              <w:t>)</w:t>
            </w:r>
            <w:r w:rsidRPr="008F6020" w:rsidR="008861AB">
              <w:rPr>
                <w:rFonts w:asciiTheme="minorHAnsi" w:hAnsiTheme="minorHAnsi"/>
                <w:b w:val="0"/>
                <w:bCs w:val="0"/>
                <w:szCs w:val="24"/>
              </w:rPr>
              <w:t xml:space="preserve">. </w:t>
            </w:r>
            <w:r w:rsidRPr="008F6020" w:rsidR="00C541F3">
              <w:rPr>
                <w:rFonts w:asciiTheme="minorHAnsi" w:hAnsiTheme="minorHAnsi"/>
                <w:b w:val="0"/>
                <w:bCs w:val="0"/>
                <w:szCs w:val="24"/>
              </w:rPr>
              <w:t>v</w:t>
            </w:r>
            <w:r w:rsidRPr="008F6020">
              <w:rPr>
                <w:rFonts w:asciiTheme="minorHAnsi" w:hAnsiTheme="minorHAnsi"/>
                <w:b w:val="0"/>
                <w:bCs w:val="0"/>
                <w:szCs w:val="24"/>
              </w:rPr>
              <w:t>an Hecke</w:t>
            </w:r>
            <w:r w:rsidRPr="008F6020" w:rsidR="00346AA9">
              <w:rPr>
                <w:rFonts w:asciiTheme="minorHAnsi" w:hAnsiTheme="minorHAnsi"/>
                <w:b w:val="0"/>
                <w:bCs w:val="0"/>
                <w:szCs w:val="24"/>
              </w:rPr>
              <w:t xml:space="preserve"> (proposed supervisor) has existing contacts within the NeuPSIG executive to accommodate opportunities for knowledge exchange (e.g. formal training)</w:t>
            </w:r>
            <w:r w:rsidRPr="008F6020" w:rsidR="00CC2AE6">
              <w:rPr>
                <w:rFonts w:asciiTheme="minorHAnsi" w:hAnsiTheme="minorHAnsi"/>
                <w:b w:val="0"/>
                <w:bCs w:val="0"/>
                <w:szCs w:val="24"/>
              </w:rPr>
              <w:t xml:space="preserve">, and </w:t>
            </w:r>
            <w:r w:rsidRPr="008F6020" w:rsidR="00346AA9">
              <w:rPr>
                <w:rFonts w:asciiTheme="minorHAnsi" w:hAnsiTheme="minorHAnsi"/>
                <w:b w:val="0"/>
                <w:bCs w:val="0"/>
                <w:szCs w:val="24"/>
              </w:rPr>
              <w:t xml:space="preserve">further dissemination through conferences e.g. IASP World Congress of Pain, and first-rank scientific </w:t>
            </w:r>
            <w:r w:rsidRPr="008F6020" w:rsidR="00CC2AE6">
              <w:rPr>
                <w:rFonts w:asciiTheme="minorHAnsi" w:hAnsiTheme="minorHAnsi"/>
                <w:b w:val="0"/>
                <w:bCs w:val="0"/>
                <w:szCs w:val="24"/>
              </w:rPr>
              <w:t xml:space="preserve">pain journal e.g. </w:t>
            </w:r>
            <w:r w:rsidRPr="008F6020" w:rsidR="00CC2AE6">
              <w:rPr>
                <w:rFonts w:asciiTheme="minorHAnsi" w:hAnsiTheme="minorHAnsi"/>
                <w:b w:val="0"/>
                <w:bCs w:val="0"/>
                <w:i/>
                <w:iCs/>
                <w:szCs w:val="24"/>
              </w:rPr>
              <w:t>PAIN</w:t>
            </w:r>
            <w:r w:rsidRPr="008F6020" w:rsidR="00CC2AE6">
              <w:rPr>
                <w:rFonts w:asciiTheme="minorHAnsi" w:hAnsiTheme="minorHAnsi"/>
                <w:b w:val="0"/>
                <w:bCs w:val="0"/>
                <w:szCs w:val="24"/>
              </w:rPr>
              <w:t xml:space="preserve">. </w:t>
            </w:r>
            <w:r w:rsidR="00BA4C1A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Pr="008F6020" w:rsidR="008861AB">
              <w:rPr>
                <w:rFonts w:asciiTheme="minorHAnsi" w:hAnsiTheme="minorHAnsi"/>
                <w:b w:val="0"/>
                <w:bCs w:val="0"/>
                <w:szCs w:val="24"/>
              </w:rPr>
              <w:t xml:space="preserve">In addition, we will utilise our </w:t>
            </w:r>
            <w:r w:rsidRPr="00B143E9" w:rsidR="008861AB">
              <w:rPr>
                <w:rFonts w:asciiTheme="minorHAnsi" w:hAnsiTheme="minorHAnsi"/>
                <w:szCs w:val="24"/>
              </w:rPr>
              <w:t>network</w:t>
            </w:r>
            <w:r w:rsidRPr="00B143E9" w:rsidR="00B143E9">
              <w:rPr>
                <w:rFonts w:asciiTheme="minorHAnsi" w:hAnsiTheme="minorHAnsi"/>
                <w:szCs w:val="24"/>
              </w:rPr>
              <w:t>s</w:t>
            </w:r>
            <w:r w:rsidRPr="00B143E9" w:rsidR="008861AB">
              <w:rPr>
                <w:rFonts w:asciiTheme="minorHAnsi" w:hAnsiTheme="minorHAnsi"/>
                <w:szCs w:val="24"/>
              </w:rPr>
              <w:t xml:space="preserve"> with leading academic institutions </w:t>
            </w:r>
            <w:r w:rsidRPr="00B143E9" w:rsidR="00B143E9">
              <w:rPr>
                <w:rFonts w:asciiTheme="minorHAnsi" w:hAnsiTheme="minorHAnsi"/>
                <w:szCs w:val="24"/>
              </w:rPr>
              <w:t>and individuals</w:t>
            </w:r>
            <w:r w:rsidR="00B143E9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Pr="008F6020" w:rsidR="008861AB">
              <w:rPr>
                <w:rFonts w:asciiTheme="minorHAnsi" w:hAnsiTheme="minorHAnsi"/>
                <w:b w:val="0"/>
                <w:bCs w:val="0"/>
                <w:szCs w:val="24"/>
              </w:rPr>
              <w:t xml:space="preserve">with an active research interest in chronic and neuropathic pain in community settings (namely Prof Blair Smith, University of Dundee, and Dr Barbara Nicholl, University of Glasgow) </w:t>
            </w:r>
            <w:r w:rsidRPr="008F6020" w:rsidR="004E2D62">
              <w:rPr>
                <w:rFonts w:asciiTheme="minorHAnsi" w:hAnsiTheme="minorHAnsi"/>
                <w:b w:val="0"/>
                <w:bCs w:val="0"/>
                <w:szCs w:val="24"/>
              </w:rPr>
              <w:t>to</w:t>
            </w:r>
            <w:r w:rsidRPr="008F6020" w:rsidR="008861AB">
              <w:rPr>
                <w:rFonts w:asciiTheme="minorHAnsi" w:hAnsiTheme="minorHAnsi"/>
                <w:b w:val="0"/>
                <w:bCs w:val="0"/>
                <w:szCs w:val="24"/>
              </w:rPr>
              <w:t xml:space="preserve"> progress the findings of this important </w:t>
            </w:r>
            <w:r w:rsidRPr="008F6020" w:rsidR="004E2D62">
              <w:rPr>
                <w:rFonts w:asciiTheme="minorHAnsi" w:hAnsiTheme="minorHAnsi"/>
                <w:b w:val="0"/>
                <w:bCs w:val="0"/>
                <w:szCs w:val="24"/>
              </w:rPr>
              <w:t xml:space="preserve">project for future interventions in primary care. </w:t>
            </w:r>
            <w:r w:rsidRPr="00446026" w:rsidR="008F6020">
              <w:rPr>
                <w:b w:val="0"/>
                <w:bCs w:val="0"/>
              </w:rPr>
              <w:t xml:space="preserve">The PhD will be </w:t>
            </w:r>
            <w:r w:rsidRPr="00F447EE" w:rsidR="008F6020">
              <w:t>conducted in the context of the ATHENA</w:t>
            </w:r>
            <w:r w:rsidRPr="00F447EE" w:rsidR="00B43E0E">
              <w:t xml:space="preserve"> </w:t>
            </w:r>
            <w:r w:rsidRPr="00F447EE" w:rsidR="00E52C32">
              <w:t>study</w:t>
            </w:r>
            <w:r w:rsidR="00E52C32">
              <w:rPr>
                <w:b w:val="0"/>
                <w:bCs w:val="0"/>
              </w:rPr>
              <w:t xml:space="preserve"> </w:t>
            </w:r>
            <w:r w:rsidRPr="00446026" w:rsidR="00B43E0E">
              <w:rPr>
                <w:b w:val="0"/>
                <w:bCs w:val="0"/>
              </w:rPr>
              <w:t>(NIHR</w:t>
            </w:r>
            <w:r w:rsidRPr="00446026" w:rsidR="00446026">
              <w:rPr>
                <w:b w:val="0"/>
                <w:bCs w:val="0"/>
              </w:rPr>
              <w:t xml:space="preserve"> 129720</w:t>
            </w:r>
            <w:r w:rsidRPr="00446026" w:rsidR="00B43E0E">
              <w:rPr>
                <w:b w:val="0"/>
                <w:bCs w:val="0"/>
              </w:rPr>
              <w:t xml:space="preserve">), a randomised clinical trial, aiming to determine the clinical and cost effectiveness of prophylactic low-dose amitriptyline for the prevention of post-herpetic neuralgia in adults 50 years or older with herpes zoster.  </w:t>
            </w:r>
            <w:r w:rsidR="00E52C32">
              <w:rPr>
                <w:b w:val="0"/>
                <w:bCs w:val="0"/>
              </w:rPr>
              <w:t>ATHENA is being delivered by S</w:t>
            </w:r>
            <w:r w:rsidR="00C35ADA">
              <w:rPr>
                <w:b w:val="0"/>
                <w:bCs w:val="0"/>
              </w:rPr>
              <w:t>PCR members Bristol (</w:t>
            </w:r>
            <w:r w:rsidR="00BA4C1A">
              <w:rPr>
                <w:b w:val="0"/>
                <w:bCs w:val="0"/>
              </w:rPr>
              <w:t>Ridd CI</w:t>
            </w:r>
            <w:r w:rsidR="00C35ADA">
              <w:rPr>
                <w:b w:val="0"/>
                <w:bCs w:val="0"/>
              </w:rPr>
              <w:t>), Oxford (van Hecke PI) and Southampton (</w:t>
            </w:r>
            <w:r w:rsidR="004C01E0">
              <w:rPr>
                <w:b w:val="0"/>
                <w:bCs w:val="0"/>
              </w:rPr>
              <w:t xml:space="preserve">Prof Hazel </w:t>
            </w:r>
            <w:r w:rsidR="00C35ADA">
              <w:rPr>
                <w:b w:val="0"/>
                <w:bCs w:val="0"/>
              </w:rPr>
              <w:t>Everitt</w:t>
            </w:r>
            <w:r w:rsidR="00A808EA">
              <w:rPr>
                <w:b w:val="0"/>
                <w:bCs w:val="0"/>
              </w:rPr>
              <w:t xml:space="preserve"> PI and collaborator on this proposal).</w:t>
            </w:r>
          </w:p>
        </w:tc>
      </w:tr>
      <w:tr w:rsidRPr="00323521" w:rsidR="00E0356E" w:rsidTr="0ED09111" w14:paraId="6F97C7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E0356E" w:rsidRDefault="00E0356E" w14:paraId="7298EBB7" w14:textId="77777777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Project description:</w:t>
            </w:r>
          </w:p>
        </w:tc>
      </w:tr>
      <w:tr w:rsidRPr="00323521" w:rsidR="00E0356E" w:rsidTr="0ED09111" w14:paraId="295FC3B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AC6923" w:rsidR="004D7CE1" w:rsidP="00AC6923" w:rsidRDefault="00D80443" w14:paraId="1A3032BD" w14:textId="53EDFE4C">
            <w:pPr>
              <w:rPr>
                <w:b w:val="0"/>
                <w:bCs w:val="0"/>
              </w:rPr>
            </w:pPr>
            <w:r w:rsidRPr="00AC6923">
              <w:t>Herpes zoster</w:t>
            </w:r>
            <w:r w:rsidRPr="00AC6923">
              <w:rPr>
                <w:b w:val="0"/>
                <w:bCs w:val="0"/>
              </w:rPr>
              <w:t xml:space="preserve"> or “shingles” </w:t>
            </w:r>
            <w:r w:rsidRPr="00AC6923" w:rsidR="007C7C4D">
              <w:rPr>
                <w:b w:val="0"/>
                <w:bCs w:val="0"/>
              </w:rPr>
              <w:t>manifests as</w:t>
            </w:r>
            <w:r w:rsidRPr="00AC6923" w:rsidR="00DE5920">
              <w:rPr>
                <w:b w:val="0"/>
                <w:bCs w:val="0"/>
              </w:rPr>
              <w:t xml:space="preserve"> a </w:t>
            </w:r>
            <w:r w:rsidRPr="00AC6923">
              <w:rPr>
                <w:b w:val="0"/>
                <w:bCs w:val="0"/>
              </w:rPr>
              <w:t>painful, blistering dermatomal rash, and is caused by reactivation of the varicella-zoster virus within a dorsal root, or cranial, sensory ganglion.</w:t>
            </w:r>
            <w:r w:rsidRPr="00AC6923" w:rsidR="005A57D5">
              <w:rPr>
                <w:b w:val="0"/>
                <w:bCs w:val="0"/>
              </w:rPr>
              <w:t xml:space="preserve">  In the UK, the majority of people are managed </w:t>
            </w:r>
            <w:r w:rsidRPr="00AC6923" w:rsidR="007647B6">
              <w:rPr>
                <w:b w:val="0"/>
                <w:bCs w:val="0"/>
              </w:rPr>
              <w:t xml:space="preserve">exclusively </w:t>
            </w:r>
            <w:r w:rsidRPr="00AC6923" w:rsidR="005A57D5">
              <w:rPr>
                <w:b w:val="0"/>
                <w:bCs w:val="0"/>
              </w:rPr>
              <w:t>in primary care.</w:t>
            </w:r>
            <w:r w:rsidRPr="00AC6923" w:rsidR="007647B6">
              <w:rPr>
                <w:b w:val="0"/>
                <w:bCs w:val="0"/>
              </w:rPr>
              <w:t xml:space="preserve">  </w:t>
            </w:r>
            <w:r w:rsidRPr="00AC6923" w:rsidR="00AE05ED">
              <w:rPr>
                <w:b w:val="0"/>
                <w:bCs w:val="0"/>
              </w:rPr>
              <w:t xml:space="preserve">The most common complication is </w:t>
            </w:r>
            <w:r w:rsidRPr="00AC6923" w:rsidR="00AE05ED">
              <w:t>post herpetic neuralgia</w:t>
            </w:r>
            <w:r w:rsidRPr="00AC6923" w:rsidR="007C7C4D">
              <w:rPr>
                <w:b w:val="0"/>
                <w:bCs w:val="0"/>
              </w:rPr>
              <w:t>.</w:t>
            </w:r>
            <w:r w:rsidRPr="00AC6923" w:rsidR="00AE05ED">
              <w:rPr>
                <w:b w:val="0"/>
                <w:bCs w:val="0"/>
              </w:rPr>
              <w:t xml:space="preserve"> </w:t>
            </w:r>
            <w:r w:rsidRPr="00AC6923" w:rsidR="00DE5920">
              <w:rPr>
                <w:b w:val="0"/>
                <w:bCs w:val="0"/>
              </w:rPr>
              <w:t xml:space="preserve"> </w:t>
            </w:r>
            <w:r w:rsidRPr="00AC6923" w:rsidR="007647B6">
              <w:rPr>
                <w:b w:val="0"/>
                <w:bCs w:val="0"/>
              </w:rPr>
              <w:t xml:space="preserve">Early diagnosis is important </w:t>
            </w:r>
            <w:r w:rsidRPr="00AC6923" w:rsidR="00000BB8">
              <w:rPr>
                <w:b w:val="0"/>
                <w:bCs w:val="0"/>
              </w:rPr>
              <w:t>as antiviral treatment is most effective if given within 72 hours of rash onset.</w:t>
            </w:r>
          </w:p>
          <w:p w:rsidRPr="008B2B17" w:rsidR="00D80443" w:rsidP="008B2B17" w:rsidRDefault="00272B07" w14:paraId="3E428CD8" w14:textId="33BD4992">
            <w:pPr>
              <w:rPr>
                <w:b w:val="0"/>
                <w:bCs w:val="0"/>
              </w:rPr>
            </w:pPr>
            <w:r w:rsidRPr="008B2B17">
              <w:rPr>
                <w:b w:val="0"/>
                <w:bCs w:val="0"/>
              </w:rPr>
              <w:t xml:space="preserve">While there is an agreed core outcome set for trials of </w:t>
            </w:r>
            <w:r w:rsidRPr="008B2B17" w:rsidR="003C2BE9">
              <w:rPr>
                <w:b w:val="0"/>
                <w:bCs w:val="0"/>
              </w:rPr>
              <w:t xml:space="preserve">treatments of neuropathic pain (IMMPACT), there is </w:t>
            </w:r>
            <w:r w:rsidRPr="008B2B17" w:rsidR="00CC00A5">
              <w:rPr>
                <w:b w:val="0"/>
                <w:bCs w:val="0"/>
              </w:rPr>
              <w:t>a need for a review of the psychometric properties of</w:t>
            </w:r>
            <w:r w:rsidRPr="008B2B17" w:rsidR="00CB7011">
              <w:rPr>
                <w:b w:val="0"/>
                <w:bCs w:val="0"/>
              </w:rPr>
              <w:t xml:space="preserve"> relevant </w:t>
            </w:r>
            <w:r w:rsidRPr="008B2B17" w:rsidR="00CB7011">
              <w:t xml:space="preserve">patient reported </w:t>
            </w:r>
            <w:r w:rsidRPr="008B2B17" w:rsidR="00CC00A5">
              <w:t>outcome measures</w:t>
            </w:r>
            <w:r w:rsidRPr="008B2B17" w:rsidR="00CB7011">
              <w:rPr>
                <w:b w:val="0"/>
                <w:bCs w:val="0"/>
              </w:rPr>
              <w:t xml:space="preserve">.  </w:t>
            </w:r>
            <w:r w:rsidRPr="008B2B17" w:rsidR="00AE000E">
              <w:rPr>
                <w:b w:val="0"/>
                <w:bCs w:val="0"/>
              </w:rPr>
              <w:t xml:space="preserve">Risk factors associated with the development of herpes zoster, such as age, gender and comorbidities, are well described, but the significance of </w:t>
            </w:r>
            <w:r w:rsidRPr="008B2B17" w:rsidR="00AE000E">
              <w:t>frailty</w:t>
            </w:r>
            <w:r w:rsidRPr="008B2B17" w:rsidR="00AE000E">
              <w:rPr>
                <w:b w:val="0"/>
                <w:bCs w:val="0"/>
              </w:rPr>
              <w:t xml:space="preserve"> is poorly understood.  Conceptually different (although related) to ageing, disability, and co-morbidity, frailty </w:t>
            </w:r>
            <w:r w:rsidRPr="008B2B17" w:rsidR="00E71F6C">
              <w:rPr>
                <w:b w:val="0"/>
                <w:bCs w:val="0"/>
              </w:rPr>
              <w:t xml:space="preserve">is characterised by an increased vulnerability to external stressors </w:t>
            </w:r>
            <w:r w:rsidR="009F02CD">
              <w:rPr>
                <w:b w:val="0"/>
                <w:bCs w:val="0"/>
              </w:rPr>
              <w:t xml:space="preserve">and </w:t>
            </w:r>
            <w:r w:rsidRPr="008B2B17" w:rsidR="00AE000E">
              <w:rPr>
                <w:b w:val="0"/>
                <w:bCs w:val="0"/>
              </w:rPr>
              <w:t xml:space="preserve">is linked to adverse outcomes.  </w:t>
            </w:r>
            <w:r w:rsidRPr="008B2B17" w:rsidR="00153B8A">
              <w:rPr>
                <w:b w:val="0"/>
                <w:bCs w:val="0"/>
              </w:rPr>
              <w:t>A better understanding of frailty and other patient factors</w:t>
            </w:r>
            <w:r w:rsidR="008457B4">
              <w:rPr>
                <w:b w:val="0"/>
                <w:bCs w:val="0"/>
              </w:rPr>
              <w:t xml:space="preserve"> (</w:t>
            </w:r>
            <w:r w:rsidRPr="008B2B17" w:rsidR="00153B8A">
              <w:rPr>
                <w:b w:val="0"/>
                <w:bCs w:val="0"/>
              </w:rPr>
              <w:t>including knowledge about the condition and benefits of early treatment</w:t>
            </w:r>
            <w:r w:rsidR="008457B4">
              <w:rPr>
                <w:b w:val="0"/>
                <w:bCs w:val="0"/>
              </w:rPr>
              <w:t>)</w:t>
            </w:r>
            <w:r w:rsidRPr="008B2B17" w:rsidR="00153B8A">
              <w:rPr>
                <w:b w:val="0"/>
                <w:bCs w:val="0"/>
              </w:rPr>
              <w:t xml:space="preserve"> could be used to </w:t>
            </w:r>
            <w:r w:rsidRPr="008B2B17" w:rsidR="00153B8A">
              <w:t xml:space="preserve">improve the </w:t>
            </w:r>
            <w:r w:rsidRPr="008B2B17" w:rsidR="00CC213E">
              <w:t xml:space="preserve">timely </w:t>
            </w:r>
            <w:r w:rsidRPr="008B2B17" w:rsidR="00153B8A">
              <w:t>care</w:t>
            </w:r>
            <w:r w:rsidRPr="008B2B17" w:rsidR="00153B8A">
              <w:rPr>
                <w:b w:val="0"/>
                <w:bCs w:val="0"/>
              </w:rPr>
              <w:t xml:space="preserve"> of patients with herpes zoster in primary care.</w:t>
            </w:r>
            <w:r w:rsidRPr="008B2B17" w:rsidR="00CC213E">
              <w:rPr>
                <w:b w:val="0"/>
                <w:bCs w:val="0"/>
              </w:rPr>
              <w:t xml:space="preserve">  </w:t>
            </w:r>
            <w:r w:rsidRPr="008B2B17" w:rsidR="00617965">
              <w:rPr>
                <w:b w:val="0"/>
                <w:bCs w:val="0"/>
              </w:rPr>
              <w:t xml:space="preserve">The relationship between herpes zoster and frailty </w:t>
            </w:r>
            <w:r w:rsidRPr="008B2B17" w:rsidR="00CB5684">
              <w:rPr>
                <w:b w:val="0"/>
                <w:bCs w:val="0"/>
              </w:rPr>
              <w:t>is bidirectional: f</w:t>
            </w:r>
            <w:r w:rsidRPr="008B2B17" w:rsidR="005567D9">
              <w:rPr>
                <w:b w:val="0"/>
                <w:bCs w:val="0"/>
              </w:rPr>
              <w:t>rail</w:t>
            </w:r>
            <w:r w:rsidRPr="008B2B17" w:rsidR="00617965">
              <w:rPr>
                <w:b w:val="0"/>
                <w:bCs w:val="0"/>
              </w:rPr>
              <w:t xml:space="preserve">ty may </w:t>
            </w:r>
            <w:r w:rsidRPr="008B2B17" w:rsidR="00CB5684">
              <w:rPr>
                <w:b w:val="0"/>
                <w:bCs w:val="0"/>
              </w:rPr>
              <w:t>effect risk of</w:t>
            </w:r>
            <w:r w:rsidRPr="008B2B17" w:rsidR="006A5AAA">
              <w:rPr>
                <w:b w:val="0"/>
                <w:bCs w:val="0"/>
              </w:rPr>
              <w:t>, pain severity</w:t>
            </w:r>
            <w:r w:rsidRPr="008B2B17" w:rsidR="00CB5684">
              <w:rPr>
                <w:b w:val="0"/>
                <w:bCs w:val="0"/>
              </w:rPr>
              <w:t xml:space="preserve"> and time to diagnosis of herpes zoster</w:t>
            </w:r>
            <w:r w:rsidRPr="008B2B17" w:rsidR="006A5AAA">
              <w:rPr>
                <w:b w:val="0"/>
                <w:bCs w:val="0"/>
              </w:rPr>
              <w:t>; and herpes zoster may worsen frailty.</w:t>
            </w:r>
            <w:r w:rsidRPr="008B2B17" w:rsidR="00361864">
              <w:rPr>
                <w:b w:val="0"/>
                <w:bCs w:val="0"/>
              </w:rPr>
              <w:t xml:space="preserve">  </w:t>
            </w:r>
          </w:p>
          <w:p w:rsidRPr="0037518D" w:rsidR="00F659AE" w:rsidP="00D94D24" w:rsidRDefault="00F659AE" w14:paraId="30D596A3" w14:textId="390CE1E3">
            <w:pPr>
              <w:spacing w:after="120"/>
              <w:rPr>
                <w:b w:val="0"/>
                <w:bCs w:val="0"/>
              </w:rPr>
            </w:pPr>
            <w:r w:rsidRPr="0037518D">
              <w:rPr>
                <w:b w:val="0"/>
                <w:bCs w:val="0"/>
              </w:rPr>
              <w:t xml:space="preserve">The </w:t>
            </w:r>
            <w:r w:rsidRPr="00B64D58">
              <w:t>overall aim</w:t>
            </w:r>
            <w:r w:rsidRPr="0037518D">
              <w:rPr>
                <w:b w:val="0"/>
                <w:bCs w:val="0"/>
              </w:rPr>
              <w:t xml:space="preserve"> is to better understand </w:t>
            </w:r>
            <w:r w:rsidRPr="0037518D" w:rsidR="008A4F2A">
              <w:rPr>
                <w:b w:val="0"/>
                <w:bCs w:val="0"/>
              </w:rPr>
              <w:t xml:space="preserve">how patient </w:t>
            </w:r>
            <w:r w:rsidRPr="0037518D" w:rsidR="0037518D">
              <w:rPr>
                <w:b w:val="0"/>
                <w:bCs w:val="0"/>
              </w:rPr>
              <w:t>knowledge and frailty effects the diagnosis and outcome of herpes zoster in primary care.</w:t>
            </w:r>
          </w:p>
          <w:p w:rsidRPr="00B64D58" w:rsidR="00E0356E" w:rsidP="00D94D24" w:rsidRDefault="00B83492" w14:paraId="2CD8510C" w14:textId="3353CC69">
            <w:pPr>
              <w:spacing w:after="120"/>
            </w:pPr>
            <w:r w:rsidRPr="00B64D58">
              <w:t>Objectives:</w:t>
            </w:r>
          </w:p>
          <w:p w:rsidRPr="0037518D" w:rsidR="003A70DA" w:rsidP="00D94D24" w:rsidRDefault="003A70DA" w14:paraId="41FEA109" w14:textId="78A80794">
            <w:pPr>
              <w:pStyle w:val="ListParagraph"/>
              <w:numPr>
                <w:ilvl w:val="0"/>
                <w:numId w:val="3"/>
              </w:numPr>
              <w:spacing w:after="120"/>
              <w:rPr>
                <w:b w:val="0"/>
                <w:bCs w:val="0"/>
              </w:rPr>
            </w:pPr>
            <w:r w:rsidRPr="0037518D">
              <w:rPr>
                <w:b w:val="0"/>
                <w:bCs w:val="0"/>
              </w:rPr>
              <w:t xml:space="preserve">To </w:t>
            </w:r>
            <w:r w:rsidR="00B81698">
              <w:rPr>
                <w:b w:val="0"/>
                <w:bCs w:val="0"/>
              </w:rPr>
              <w:t xml:space="preserve">review </w:t>
            </w:r>
            <w:r w:rsidR="004D7CE1">
              <w:rPr>
                <w:b w:val="0"/>
                <w:bCs w:val="0"/>
              </w:rPr>
              <w:t xml:space="preserve">and appraise patient reported </w:t>
            </w:r>
            <w:r w:rsidR="00B81698">
              <w:rPr>
                <w:b w:val="0"/>
                <w:bCs w:val="0"/>
              </w:rPr>
              <w:t xml:space="preserve">outcome measures for </w:t>
            </w:r>
            <w:r w:rsidR="0033700D">
              <w:rPr>
                <w:b w:val="0"/>
                <w:bCs w:val="0"/>
              </w:rPr>
              <w:t>post herpetic neuralgia</w:t>
            </w:r>
          </w:p>
          <w:p w:rsidRPr="0037518D" w:rsidR="00B83492" w:rsidP="00D94D24" w:rsidRDefault="008129D2" w14:paraId="69F17592" w14:textId="4062E884">
            <w:pPr>
              <w:pStyle w:val="ListParagraph"/>
              <w:numPr>
                <w:ilvl w:val="0"/>
                <w:numId w:val="3"/>
              </w:numPr>
              <w:spacing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To </w:t>
            </w:r>
            <w:r w:rsidRPr="0037518D" w:rsidR="009F6EAA">
              <w:rPr>
                <w:b w:val="0"/>
                <w:bCs w:val="0"/>
              </w:rPr>
              <w:t>describe</w:t>
            </w:r>
            <w:r w:rsidRPr="0037518D" w:rsidR="00EB3D06">
              <w:rPr>
                <w:b w:val="0"/>
                <w:bCs w:val="0"/>
              </w:rPr>
              <w:t xml:space="preserve"> and explore</w:t>
            </w:r>
            <w:r w:rsidRPr="0037518D" w:rsidR="003D189F">
              <w:rPr>
                <w:b w:val="0"/>
                <w:bCs w:val="0"/>
              </w:rPr>
              <w:t xml:space="preserve"> lay knowledge about herpes zoster</w:t>
            </w:r>
          </w:p>
          <w:p w:rsidRPr="0037518D" w:rsidR="005D6245" w:rsidP="00D94D24" w:rsidRDefault="00F85089" w14:paraId="3230FF01" w14:textId="37839954">
            <w:pPr>
              <w:pStyle w:val="ListParagraph"/>
              <w:numPr>
                <w:ilvl w:val="0"/>
                <w:numId w:val="3"/>
              </w:numPr>
              <w:spacing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</w:t>
            </w:r>
            <w:r w:rsidRPr="0037518D" w:rsidR="00EB3D06">
              <w:rPr>
                <w:b w:val="0"/>
                <w:bCs w:val="0"/>
              </w:rPr>
              <w:t xml:space="preserve">o </w:t>
            </w:r>
            <w:r w:rsidRPr="0037518D" w:rsidR="00717998">
              <w:rPr>
                <w:b w:val="0"/>
                <w:bCs w:val="0"/>
              </w:rPr>
              <w:t xml:space="preserve">describe </w:t>
            </w:r>
            <w:r w:rsidRPr="0037518D" w:rsidR="00A1508E">
              <w:rPr>
                <w:b w:val="0"/>
                <w:bCs w:val="0"/>
              </w:rPr>
              <w:t xml:space="preserve">associations between frailty and </w:t>
            </w:r>
            <w:r w:rsidRPr="0037518D" w:rsidR="00D72302">
              <w:rPr>
                <w:b w:val="0"/>
                <w:bCs w:val="0"/>
              </w:rPr>
              <w:t>herpes zoster</w:t>
            </w:r>
          </w:p>
          <w:p w:rsidRPr="00B64D58" w:rsidR="008A5CF7" w:rsidP="00B64D58" w:rsidRDefault="00670521" w14:paraId="31FDFD61" w14:textId="2CFDD872">
            <w:pPr>
              <w:rPr>
                <w:b w:val="0"/>
                <w:bCs w:val="0"/>
              </w:rPr>
            </w:pPr>
            <w:r w:rsidRPr="00B64D58">
              <w:rPr>
                <w:b w:val="0"/>
                <w:bCs w:val="0"/>
              </w:rPr>
              <w:t xml:space="preserve">Objective 1 will be met by a systematic review of the literature.  </w:t>
            </w:r>
            <w:r w:rsidRPr="00B64D58" w:rsidR="008129D2">
              <w:rPr>
                <w:b w:val="0"/>
                <w:bCs w:val="0"/>
              </w:rPr>
              <w:t>Objective 2 will be achieved through two st</w:t>
            </w:r>
            <w:r w:rsidRPr="00B64D58" w:rsidR="008A5CF7">
              <w:rPr>
                <w:b w:val="0"/>
                <w:bCs w:val="0"/>
              </w:rPr>
              <w:t>eps.  First, a cross-sectional survey of patients</w:t>
            </w:r>
            <w:r w:rsidRPr="00B64D58" w:rsidR="00EC1903">
              <w:rPr>
                <w:b w:val="0"/>
                <w:bCs w:val="0"/>
              </w:rPr>
              <w:t xml:space="preserve">, with and without a history of herpes zoster.  Second, </w:t>
            </w:r>
            <w:r w:rsidRPr="00B64D58" w:rsidR="00C51AB0">
              <w:rPr>
                <w:b w:val="0"/>
                <w:bCs w:val="0"/>
              </w:rPr>
              <w:t xml:space="preserve">in-depth interviews with a sample of </w:t>
            </w:r>
            <w:r w:rsidRPr="00B64D58" w:rsidR="00740CF0">
              <w:rPr>
                <w:b w:val="0"/>
                <w:bCs w:val="0"/>
              </w:rPr>
              <w:t xml:space="preserve">survey </w:t>
            </w:r>
            <w:r w:rsidRPr="00B64D58" w:rsidR="00C51AB0">
              <w:rPr>
                <w:b w:val="0"/>
                <w:bCs w:val="0"/>
              </w:rPr>
              <w:t>respond</w:t>
            </w:r>
            <w:r w:rsidRPr="00B64D58" w:rsidR="00430C56">
              <w:rPr>
                <w:b w:val="0"/>
                <w:bCs w:val="0"/>
              </w:rPr>
              <w:t>ents</w:t>
            </w:r>
            <w:r w:rsidRPr="00B64D58" w:rsidR="00F85089">
              <w:rPr>
                <w:b w:val="0"/>
                <w:bCs w:val="0"/>
              </w:rPr>
              <w:t xml:space="preserve">.  Objective 3 will </w:t>
            </w:r>
            <w:r w:rsidRPr="00B64D58" w:rsidR="00BC3F62">
              <w:rPr>
                <w:b w:val="0"/>
                <w:bCs w:val="0"/>
              </w:rPr>
              <w:t xml:space="preserve">be </w:t>
            </w:r>
            <w:r w:rsidRPr="00B64D58" w:rsidR="008860B9">
              <w:rPr>
                <w:b w:val="0"/>
                <w:bCs w:val="0"/>
              </w:rPr>
              <w:t xml:space="preserve">attained by secondary analysis of </w:t>
            </w:r>
            <w:r w:rsidRPr="00B64D58" w:rsidR="00F85089">
              <w:rPr>
                <w:b w:val="0"/>
                <w:bCs w:val="0"/>
              </w:rPr>
              <w:t>the ATHENA dataset</w:t>
            </w:r>
            <w:r w:rsidRPr="00B64D58" w:rsidR="00740CF0">
              <w:rPr>
                <w:b w:val="0"/>
                <w:bCs w:val="0"/>
              </w:rPr>
              <w:t xml:space="preserve"> (data on frailty </w:t>
            </w:r>
            <w:r w:rsidRPr="00B64D58" w:rsidR="002B6162">
              <w:rPr>
                <w:b w:val="0"/>
                <w:bCs w:val="0"/>
              </w:rPr>
              <w:t xml:space="preserve">is </w:t>
            </w:r>
            <w:r w:rsidRPr="00B64D58" w:rsidR="00740CF0">
              <w:rPr>
                <w:b w:val="0"/>
                <w:bCs w:val="0"/>
              </w:rPr>
              <w:t>collected</w:t>
            </w:r>
            <w:r w:rsidRPr="00B64D58" w:rsidR="002B6162">
              <w:rPr>
                <w:b w:val="0"/>
                <w:bCs w:val="0"/>
              </w:rPr>
              <w:t xml:space="preserve"> as part of the trial).</w:t>
            </w:r>
          </w:p>
          <w:p w:rsidRPr="006C31D6" w:rsidR="00274ACB" w:rsidP="006C31D6" w:rsidRDefault="008860B9" w14:paraId="4E8397B4" w14:textId="76771C4D">
            <w:pPr>
              <w:spacing w:after="120"/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B64D58">
              <w:rPr>
                <w:rFonts w:asciiTheme="minorHAnsi" w:hAnsiTheme="minorHAnsi"/>
                <w:szCs w:val="24"/>
              </w:rPr>
              <w:t>Timeline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Pr="00832C40">
              <w:rPr>
                <w:b w:val="0"/>
                <w:bCs w:val="0"/>
              </w:rPr>
              <w:t>(</w:t>
            </w:r>
            <w:r w:rsidRPr="00832C40" w:rsidR="000E2293">
              <w:rPr>
                <w:b w:val="0"/>
                <w:bCs w:val="0"/>
              </w:rPr>
              <w:t xml:space="preserve">months, for </w:t>
            </w:r>
            <w:r w:rsidRPr="00832C40" w:rsidR="00430C56">
              <w:rPr>
                <w:b w:val="0"/>
                <w:bCs w:val="0"/>
              </w:rPr>
              <w:t>3-year</w:t>
            </w:r>
            <w:r w:rsidRPr="00832C40">
              <w:rPr>
                <w:b w:val="0"/>
                <w:bCs w:val="0"/>
              </w:rPr>
              <w:t xml:space="preserve"> whole-time programme, adjusted pro-rata for part-time students): </w:t>
            </w:r>
            <w:r w:rsidRPr="00832C40" w:rsidR="00C76769">
              <w:rPr>
                <w:b w:val="0"/>
                <w:bCs w:val="0"/>
              </w:rPr>
              <w:t>Background reading and literature review (1-5); s</w:t>
            </w:r>
            <w:r w:rsidRPr="00832C40" w:rsidR="000E2293">
              <w:rPr>
                <w:b w:val="0"/>
                <w:bCs w:val="0"/>
              </w:rPr>
              <w:t>ystematic review (</w:t>
            </w:r>
            <w:r w:rsidRPr="00832C40" w:rsidR="00C76769">
              <w:rPr>
                <w:b w:val="0"/>
                <w:bCs w:val="0"/>
              </w:rPr>
              <w:t>6</w:t>
            </w:r>
            <w:r w:rsidRPr="00832C40" w:rsidR="000E2293">
              <w:rPr>
                <w:b w:val="0"/>
                <w:bCs w:val="0"/>
              </w:rPr>
              <w:t>-18); survey (</w:t>
            </w:r>
            <w:r w:rsidRPr="00832C40" w:rsidR="003944AF">
              <w:rPr>
                <w:b w:val="0"/>
                <w:bCs w:val="0"/>
              </w:rPr>
              <w:t>12-2</w:t>
            </w:r>
            <w:r w:rsidRPr="00832C40" w:rsidR="00C75656">
              <w:rPr>
                <w:b w:val="0"/>
                <w:bCs w:val="0"/>
              </w:rPr>
              <w:t>0</w:t>
            </w:r>
            <w:r w:rsidRPr="00832C40" w:rsidR="003944AF">
              <w:rPr>
                <w:b w:val="0"/>
                <w:bCs w:val="0"/>
              </w:rPr>
              <w:t xml:space="preserve">); interviews (16-28); </w:t>
            </w:r>
            <w:r w:rsidRPr="00832C40" w:rsidR="00C76769">
              <w:rPr>
                <w:b w:val="0"/>
                <w:bCs w:val="0"/>
              </w:rPr>
              <w:t>secondary analysis (</w:t>
            </w:r>
            <w:r w:rsidRPr="00832C40" w:rsidR="00DB6F63">
              <w:rPr>
                <w:b w:val="0"/>
                <w:bCs w:val="0"/>
              </w:rPr>
              <w:t>24-30)</w:t>
            </w:r>
            <w:r w:rsidRPr="00832C40" w:rsidR="00DF7E6F">
              <w:rPr>
                <w:b w:val="0"/>
                <w:bCs w:val="0"/>
              </w:rPr>
              <w:t>; write-up and dissemination (31-36).</w:t>
            </w:r>
          </w:p>
        </w:tc>
      </w:tr>
    </w:tbl>
    <w:p w:rsidR="00FF6AEA" w:rsidRDefault="00FF6AEA" w14:paraId="59F5079B" w14:textId="77777777"/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Pr="00323521" w:rsidR="00E0356E" w:rsidTr="002A1B47" w14:paraId="3B8B9ED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Pr="00323521" w:rsidR="00E0356E" w:rsidRDefault="00E0356E" w14:paraId="59E4D9FD" w14:textId="35CEF0FA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Training </w:t>
            </w:r>
            <w:r w:rsid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and development provision by host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Pr="00323521" w:rsidR="00E0356E" w:rsidTr="002A1B47" w14:paraId="48269D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2B0F95" w:rsidP="008B2B17" w:rsidRDefault="002B0282" w14:paraId="40F66F7E" w14:textId="75C57E40">
            <w:r w:rsidRPr="001E26D9">
              <w:rPr>
                <w:i/>
                <w:szCs w:val="24"/>
              </w:rPr>
              <w:t>Formal training:</w:t>
            </w:r>
            <w:r w:rsidR="006E7C10">
              <w:rPr>
                <w:i/>
                <w:szCs w:val="24"/>
              </w:rPr>
              <w:t xml:space="preserve"> </w:t>
            </w:r>
            <w:r w:rsidRPr="000A3789" w:rsidR="000A3789">
              <w:rPr>
                <w:b w:val="0"/>
                <w:bCs w:val="0"/>
                <w:iCs/>
                <w:szCs w:val="24"/>
              </w:rPr>
              <w:t>B</w:t>
            </w:r>
            <w:r w:rsidR="008B2B17">
              <w:rPr>
                <w:b w:val="0"/>
                <w:bCs w:val="0"/>
              </w:rPr>
              <w:t>espoke according to needs, but suggested courses include</w:t>
            </w:r>
            <w:r w:rsidR="002B0F95">
              <w:rPr>
                <w:b w:val="0"/>
                <w:bCs w:val="0"/>
              </w:rPr>
              <w:t>:</w:t>
            </w:r>
          </w:p>
          <w:p w:rsidR="00C01CE5" w:rsidP="008B2B17" w:rsidRDefault="002F447A" w14:paraId="22D7BCB1" w14:textId="77777777">
            <w:r>
              <w:rPr>
                <w:b w:val="0"/>
                <w:bCs w:val="0"/>
              </w:rPr>
              <w:t xml:space="preserve">Population Health Sciences </w:t>
            </w:r>
            <w:hyperlink w:history="1" r:id="rId9">
              <w:r w:rsidRPr="008B2B17" w:rsidR="00CD2A49">
                <w:rPr>
                  <w:rStyle w:val="Hyperlink"/>
                  <w:b w:val="0"/>
                  <w:bCs w:val="0"/>
                </w:rPr>
                <w:t>Short-courses</w:t>
              </w:r>
            </w:hyperlink>
            <w:r w:rsidRPr="00472C86" w:rsidR="00CD2A49">
              <w:rPr>
                <w:b w:val="0"/>
                <w:bCs w:val="0"/>
              </w:rPr>
              <w:t xml:space="preserve"> at University of Bristo</w:t>
            </w:r>
            <w:r w:rsidR="000A3789">
              <w:rPr>
                <w:b w:val="0"/>
                <w:bCs w:val="0"/>
              </w:rPr>
              <w:t>l (</w:t>
            </w:r>
            <w:r w:rsidR="00FC4A29">
              <w:rPr>
                <w:b w:val="0"/>
                <w:bCs w:val="0"/>
              </w:rPr>
              <w:t>S</w:t>
            </w:r>
            <w:r w:rsidRPr="00472C86" w:rsidR="00CD2A49">
              <w:rPr>
                <w:b w:val="0"/>
                <w:bCs w:val="0"/>
              </w:rPr>
              <w:t xml:space="preserve">ystematic reviews </w:t>
            </w:r>
            <w:r w:rsidRPr="00472C86" w:rsidR="00945876">
              <w:rPr>
                <w:b w:val="0"/>
                <w:bCs w:val="0"/>
              </w:rPr>
              <w:t>and meta-analysis (</w:t>
            </w:r>
            <w:r w:rsidRPr="00472C86" w:rsidR="003544D9">
              <w:rPr>
                <w:b w:val="0"/>
                <w:bCs w:val="0"/>
              </w:rPr>
              <w:t>4</w:t>
            </w:r>
            <w:r w:rsidRPr="00472C86" w:rsidR="00AE5DEF">
              <w:rPr>
                <w:b w:val="0"/>
                <w:bCs w:val="0"/>
              </w:rPr>
              <w:t xml:space="preserve"> days</w:t>
            </w:r>
            <w:r w:rsidRPr="00472C86" w:rsidR="00945876">
              <w:rPr>
                <w:b w:val="0"/>
                <w:bCs w:val="0"/>
              </w:rPr>
              <w:t>)</w:t>
            </w:r>
            <w:r w:rsidRPr="00472C86" w:rsidR="00AE5DEF">
              <w:rPr>
                <w:b w:val="0"/>
                <w:bCs w:val="0"/>
              </w:rPr>
              <w:t xml:space="preserve"> Questionnaire Design, Application and Data Interpretation</w:t>
            </w:r>
            <w:r w:rsidRPr="00472C86" w:rsidR="001E26D9">
              <w:rPr>
                <w:b w:val="0"/>
                <w:bCs w:val="0"/>
              </w:rPr>
              <w:t xml:space="preserve"> (3 days); </w:t>
            </w:r>
            <w:r w:rsidRPr="00472C86" w:rsidR="003E2B32">
              <w:rPr>
                <w:b w:val="0"/>
                <w:bCs w:val="0"/>
              </w:rPr>
              <w:t>Stata (</w:t>
            </w:r>
            <w:r w:rsidRPr="00472C86" w:rsidR="004E3A03">
              <w:rPr>
                <w:b w:val="0"/>
                <w:bCs w:val="0"/>
              </w:rPr>
              <w:t>3 days</w:t>
            </w:r>
            <w:r w:rsidRPr="00472C86" w:rsidR="003E2B32">
              <w:rPr>
                <w:b w:val="0"/>
                <w:bCs w:val="0"/>
              </w:rPr>
              <w:t>)</w:t>
            </w:r>
            <w:r w:rsidRPr="00472C86" w:rsidR="004E3A03">
              <w:rPr>
                <w:b w:val="0"/>
                <w:bCs w:val="0"/>
              </w:rPr>
              <w:t xml:space="preserve">; </w:t>
            </w:r>
            <w:r w:rsidR="00FC4A29">
              <w:rPr>
                <w:b w:val="0"/>
                <w:bCs w:val="0"/>
              </w:rPr>
              <w:t>L</w:t>
            </w:r>
            <w:r w:rsidRPr="00472C86" w:rsidR="003544D9">
              <w:rPr>
                <w:b w:val="0"/>
                <w:bCs w:val="0"/>
              </w:rPr>
              <w:t>inear and logistic regression (4 days)</w:t>
            </w:r>
            <w:r w:rsidRPr="00472C86" w:rsidR="008B3BCC">
              <w:rPr>
                <w:b w:val="0"/>
                <w:bCs w:val="0"/>
              </w:rPr>
              <w:t>; Writing a journal article (</w:t>
            </w:r>
            <w:r w:rsidRPr="00472C86" w:rsidR="00745C14">
              <w:rPr>
                <w:b w:val="0"/>
                <w:bCs w:val="0"/>
              </w:rPr>
              <w:t>3</w:t>
            </w:r>
            <w:r w:rsidRPr="00472C86" w:rsidR="008B3BCC">
              <w:rPr>
                <w:b w:val="0"/>
                <w:bCs w:val="0"/>
              </w:rPr>
              <w:t xml:space="preserve"> day</w:t>
            </w:r>
            <w:r w:rsidRPr="00472C86" w:rsidR="00745C14">
              <w:rPr>
                <w:b w:val="0"/>
                <w:bCs w:val="0"/>
              </w:rPr>
              <w:t>s</w:t>
            </w:r>
            <w:r w:rsidRPr="00472C86" w:rsidR="008B3BCC">
              <w:rPr>
                <w:b w:val="0"/>
                <w:bCs w:val="0"/>
              </w:rPr>
              <w:t>)</w:t>
            </w:r>
            <w:r w:rsidR="00FC4A29">
              <w:rPr>
                <w:b w:val="0"/>
                <w:bCs w:val="0"/>
              </w:rPr>
              <w:t>/</w:t>
            </w:r>
            <w:r w:rsidRPr="00472C86" w:rsidR="008B3BCC">
              <w:rPr>
                <w:b w:val="0"/>
                <w:bCs w:val="0"/>
              </w:rPr>
              <w:t>qualitative paper (1 day)</w:t>
            </w:r>
            <w:r w:rsidR="00C01CE5">
              <w:rPr>
                <w:b w:val="0"/>
                <w:bCs w:val="0"/>
              </w:rPr>
              <w:t>.</w:t>
            </w:r>
          </w:p>
          <w:p w:rsidRPr="008B2B17" w:rsidR="00472C86" w:rsidP="008B2B17" w:rsidRDefault="005D5EDD" w14:paraId="5F5E5D07" w14:textId="7547862F">
            <w:pPr>
              <w:rPr>
                <w:b w:val="0"/>
                <w:i/>
                <w:szCs w:val="24"/>
              </w:rPr>
            </w:pPr>
            <w:r>
              <w:rPr>
                <w:b w:val="0"/>
                <w:bCs w:val="0"/>
              </w:rPr>
              <w:t>University of Oxford</w:t>
            </w:r>
            <w:r w:rsidR="00D72DEF">
              <w:rPr>
                <w:b w:val="0"/>
                <w:bCs w:val="0"/>
              </w:rPr>
              <w:t xml:space="preserve"> Nuffield Departm</w:t>
            </w:r>
            <w:r w:rsidR="00A27243">
              <w:rPr>
                <w:b w:val="0"/>
                <w:bCs w:val="0"/>
              </w:rPr>
              <w:t>e</w:t>
            </w:r>
            <w:r w:rsidR="00D72DEF">
              <w:rPr>
                <w:b w:val="0"/>
                <w:bCs w:val="0"/>
              </w:rPr>
              <w:t xml:space="preserve">nt of Primary Care Health </w:t>
            </w:r>
            <w:r w:rsidR="00A27243">
              <w:rPr>
                <w:b w:val="0"/>
                <w:bCs w:val="0"/>
              </w:rPr>
              <w:t xml:space="preserve">Sciences </w:t>
            </w:r>
            <w:hyperlink w:history="1" r:id="rId10">
              <w:r w:rsidRPr="008B2B17" w:rsidR="00A27243">
                <w:rPr>
                  <w:rStyle w:val="Hyperlink"/>
                  <w:b w:val="0"/>
                  <w:bCs w:val="0"/>
                </w:rPr>
                <w:t>short courses</w:t>
              </w:r>
            </w:hyperlink>
            <w:r w:rsidR="00A27243">
              <w:rPr>
                <w:b w:val="0"/>
                <w:bCs w:val="0"/>
              </w:rPr>
              <w:t xml:space="preserve"> in qualitative research methods: </w:t>
            </w:r>
            <w:r w:rsidR="0039218E">
              <w:rPr>
                <w:b w:val="0"/>
                <w:bCs w:val="0"/>
              </w:rPr>
              <w:t xml:space="preserve">Introduction to qualitative research methods (5 days); </w:t>
            </w:r>
            <w:r w:rsidR="00814EF3">
              <w:rPr>
                <w:b w:val="0"/>
                <w:bCs w:val="0"/>
              </w:rPr>
              <w:t xml:space="preserve">Introduction to qualitative interviewing (1 day); </w:t>
            </w:r>
            <w:r w:rsidR="009E32F9">
              <w:rPr>
                <w:b w:val="0"/>
                <w:bCs w:val="0"/>
              </w:rPr>
              <w:t xml:space="preserve">Introduction to analysing qualitative interviews </w:t>
            </w:r>
            <w:r w:rsidR="008058F3">
              <w:rPr>
                <w:b w:val="0"/>
                <w:bCs w:val="0"/>
              </w:rPr>
              <w:t>(2 days)</w:t>
            </w:r>
            <w:r w:rsidR="00C25A42">
              <w:rPr>
                <w:b w:val="0"/>
                <w:bCs w:val="0"/>
              </w:rPr>
              <w:t xml:space="preserve">. </w:t>
            </w:r>
            <w:r w:rsidRPr="004D7799" w:rsidR="00C25A42">
              <w:rPr>
                <w:b w:val="0"/>
                <w:bCs w:val="0"/>
              </w:rPr>
              <w:t xml:space="preserve">University of Surrey </w:t>
            </w:r>
            <w:r w:rsidR="00C25A42">
              <w:rPr>
                <w:b w:val="0"/>
                <w:bCs w:val="0"/>
              </w:rPr>
              <w:t xml:space="preserve">How to use </w:t>
            </w:r>
            <w:r w:rsidRPr="004D7799" w:rsidR="00C25A42">
              <w:rPr>
                <w:b w:val="0"/>
                <w:bCs w:val="0"/>
              </w:rPr>
              <w:t>NVivo course (£750)</w:t>
            </w:r>
            <w:r w:rsidR="00C25A42">
              <w:rPr>
                <w:b w:val="0"/>
                <w:bCs w:val="0"/>
              </w:rPr>
              <w:t>.</w:t>
            </w:r>
          </w:p>
          <w:p w:rsidR="00B73D2C" w:rsidP="00472C86" w:rsidRDefault="00282275" w14:paraId="0D5B2F5C" w14:textId="472A3367">
            <w:pPr>
              <w:rPr>
                <w:b w:val="0"/>
                <w:bCs w:val="0"/>
              </w:rPr>
            </w:pPr>
            <w:r w:rsidRPr="00472C86">
              <w:rPr>
                <w:b w:val="0"/>
                <w:bCs w:val="0"/>
              </w:rPr>
              <w:t>Bristol Medical School Graduate Studies programmes (1/2 day</w:t>
            </w:r>
            <w:r w:rsidRPr="00472C86" w:rsidR="00056716">
              <w:rPr>
                <w:b w:val="0"/>
                <w:bCs w:val="0"/>
              </w:rPr>
              <w:t xml:space="preserve">s): </w:t>
            </w:r>
            <w:r w:rsidRPr="00472C86" w:rsidR="00731F81">
              <w:rPr>
                <w:b w:val="0"/>
                <w:bCs w:val="0"/>
              </w:rPr>
              <w:t>Basic Statistics/Basic Epidemiology; Library induction and literature searching</w:t>
            </w:r>
            <w:r w:rsidRPr="00472C86" w:rsidR="0001510C">
              <w:rPr>
                <w:b w:val="0"/>
                <w:bCs w:val="0"/>
              </w:rPr>
              <w:t xml:space="preserve"> (for systematic reviews)</w:t>
            </w:r>
            <w:r w:rsidRPr="00472C86" w:rsidR="00731F81">
              <w:rPr>
                <w:b w:val="0"/>
                <w:bCs w:val="0"/>
              </w:rPr>
              <w:t xml:space="preserve">; </w:t>
            </w:r>
            <w:r w:rsidRPr="00472C86" w:rsidR="0001510C">
              <w:rPr>
                <w:b w:val="0"/>
                <w:bCs w:val="0"/>
              </w:rPr>
              <w:t xml:space="preserve">Introduction to EndNote; </w:t>
            </w:r>
            <w:r w:rsidRPr="00472C86" w:rsidR="00296FE7">
              <w:rPr>
                <w:b w:val="0"/>
                <w:bCs w:val="0"/>
              </w:rPr>
              <w:t>Open access; Introduction to STATA</w:t>
            </w:r>
            <w:r w:rsidRPr="00472C86" w:rsidR="00B73D2C">
              <w:rPr>
                <w:b w:val="0"/>
                <w:bCs w:val="0"/>
              </w:rPr>
              <w:t xml:space="preserve"> and hints and tips</w:t>
            </w:r>
            <w:r w:rsidRPr="00472C86" w:rsidR="00296FE7">
              <w:rPr>
                <w:b w:val="0"/>
                <w:bCs w:val="0"/>
              </w:rPr>
              <w:t xml:space="preserve">; </w:t>
            </w:r>
            <w:r w:rsidRPr="00472C86" w:rsidR="00B73D2C">
              <w:rPr>
                <w:b w:val="0"/>
                <w:bCs w:val="0"/>
              </w:rPr>
              <w:t xml:space="preserve">Introduction to R; </w:t>
            </w:r>
            <w:r w:rsidRPr="00472C86" w:rsidR="000F4709">
              <w:rPr>
                <w:b w:val="0"/>
                <w:bCs w:val="0"/>
              </w:rPr>
              <w:t>Quality papers</w:t>
            </w:r>
            <w:r w:rsidRPr="00472C86" w:rsidR="00414B23">
              <w:rPr>
                <w:b w:val="0"/>
                <w:bCs w:val="0"/>
              </w:rPr>
              <w:t xml:space="preserve">; Research Reproducibility; </w:t>
            </w:r>
            <w:r w:rsidRPr="00472C86" w:rsidR="00472C86">
              <w:rPr>
                <w:b w:val="0"/>
                <w:bCs w:val="0"/>
              </w:rPr>
              <w:t xml:space="preserve">Patient &amp; Public Involvement; Public Speaking &amp; Public Engagement; </w:t>
            </w:r>
            <w:r w:rsidRPr="00472C86" w:rsidR="00B73D2C">
              <w:rPr>
                <w:b w:val="0"/>
                <w:bCs w:val="0"/>
              </w:rPr>
              <w:t xml:space="preserve">PhD plans and early results symposium; </w:t>
            </w:r>
            <w:r w:rsidRPr="00472C86" w:rsidR="00414B23">
              <w:rPr>
                <w:b w:val="0"/>
                <w:bCs w:val="0"/>
              </w:rPr>
              <w:t xml:space="preserve">Thesis production and examination procedures </w:t>
            </w:r>
          </w:p>
          <w:p w:rsidRPr="006C31D6" w:rsidR="001A762E" w:rsidP="006C31D6" w:rsidRDefault="002F447A" w14:paraId="411E72CB" w14:textId="239033E1">
            <w:r w:rsidRPr="00472C86">
              <w:rPr>
                <w:b w:val="0"/>
                <w:bCs w:val="0"/>
              </w:rPr>
              <w:t>University of Bristol</w:t>
            </w:r>
            <w:r>
              <w:rPr>
                <w:b w:val="0"/>
                <w:bCs w:val="0"/>
              </w:rPr>
              <w:t xml:space="preserve"> “develop” </w:t>
            </w:r>
            <w:r w:rsidR="00607882">
              <w:rPr>
                <w:b w:val="0"/>
                <w:bCs w:val="0"/>
              </w:rPr>
              <w:t xml:space="preserve">and IT </w:t>
            </w:r>
            <w:r w:rsidR="00990D54">
              <w:rPr>
                <w:b w:val="0"/>
                <w:bCs w:val="0"/>
              </w:rPr>
              <w:t>courses (in person</w:t>
            </w:r>
            <w:r w:rsidR="00D03ED2">
              <w:rPr>
                <w:b w:val="0"/>
                <w:bCs w:val="0"/>
              </w:rPr>
              <w:t xml:space="preserve">, </w:t>
            </w:r>
            <w:r w:rsidR="00990D54">
              <w:rPr>
                <w:b w:val="0"/>
                <w:bCs w:val="0"/>
              </w:rPr>
              <w:t>online</w:t>
            </w:r>
            <w:r w:rsidR="00D03ED2">
              <w:rPr>
                <w:b w:val="0"/>
                <w:bCs w:val="0"/>
              </w:rPr>
              <w:t xml:space="preserve"> and blended;</w:t>
            </w:r>
            <w:r w:rsidR="00990D54">
              <w:rPr>
                <w:b w:val="0"/>
                <w:bCs w:val="0"/>
              </w:rPr>
              <w:t xml:space="preserve"> small group or self-directed</w:t>
            </w:r>
            <w:r w:rsidR="00D03ED2">
              <w:rPr>
                <w:b w:val="0"/>
                <w:bCs w:val="0"/>
              </w:rPr>
              <w:t>;</w:t>
            </w:r>
            <w:r w:rsidR="00990D54">
              <w:rPr>
                <w:b w:val="0"/>
                <w:bCs w:val="0"/>
              </w:rPr>
              <w:t xml:space="preserve"> </w:t>
            </w:r>
            <w:r w:rsidR="00CD2157">
              <w:rPr>
                <w:b w:val="0"/>
                <w:bCs w:val="0"/>
              </w:rPr>
              <w:t xml:space="preserve">1 hour-2 days) according to need, covering: </w:t>
            </w:r>
            <w:r w:rsidR="00607882">
              <w:rPr>
                <w:b w:val="0"/>
                <w:bCs w:val="0"/>
              </w:rPr>
              <w:t xml:space="preserve">Microsoft applications; </w:t>
            </w:r>
            <w:r w:rsidR="00CD2157">
              <w:rPr>
                <w:b w:val="0"/>
                <w:bCs w:val="0"/>
              </w:rPr>
              <w:t xml:space="preserve">personal and professional skills; career development; </w:t>
            </w:r>
            <w:r w:rsidR="00D03ED2">
              <w:rPr>
                <w:b w:val="0"/>
                <w:bCs w:val="0"/>
              </w:rPr>
              <w:t xml:space="preserve">managing people and teams; leadership, wellbeing. </w:t>
            </w:r>
          </w:p>
        </w:tc>
      </w:tr>
      <w:tr w:rsidRPr="00323521" w:rsidR="00EA7C68" w:rsidTr="002A1B47" w14:paraId="581BD9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Pr="00D834B3" w:rsidR="00DB6C83" w:rsidP="00DB6C83" w:rsidRDefault="00EA7C68" w14:paraId="1A7365FA" w14:textId="40C2209E">
            <w:pPr>
              <w:rPr>
                <w:rFonts w:asciiTheme="minorHAnsi" w:hAnsiTheme="minorHAnsi"/>
                <w:szCs w:val="24"/>
              </w:rPr>
            </w:pPr>
            <w:r w:rsidRPr="00323521">
              <w:rPr>
                <w:rFonts w:asciiTheme="minorHAnsi" w:hAnsiTheme="minorHAnsi"/>
                <w:i/>
                <w:szCs w:val="24"/>
              </w:rPr>
              <w:t>Informal training:</w:t>
            </w:r>
            <w:r w:rsidRPr="00323521">
              <w:rPr>
                <w:rFonts w:asciiTheme="minorHAnsi" w:hAnsiTheme="minorHAnsi"/>
                <w:szCs w:val="24"/>
              </w:rPr>
              <w:t xml:space="preserve"> </w:t>
            </w:r>
            <w:r w:rsidRPr="006E7C10" w:rsidR="00E10602">
              <w:rPr>
                <w:b w:val="0"/>
                <w:bCs w:val="0"/>
              </w:rPr>
              <w:t xml:space="preserve">The PhD will be carried out within a </w:t>
            </w:r>
            <w:r w:rsidRPr="006E7C10" w:rsidR="008D5C4B">
              <w:rPr>
                <w:b w:val="0"/>
                <w:bCs w:val="0"/>
              </w:rPr>
              <w:t xml:space="preserve">thriving, </w:t>
            </w:r>
            <w:r w:rsidRPr="006E7C10" w:rsidR="00E10602">
              <w:rPr>
                <w:b w:val="0"/>
                <w:bCs w:val="0"/>
              </w:rPr>
              <w:t xml:space="preserve">multi-disciplinary environment. There are many opportunities to attend </w:t>
            </w:r>
            <w:r w:rsidRPr="006E7C10" w:rsidR="001A6EC2">
              <w:rPr>
                <w:b w:val="0"/>
                <w:bCs w:val="0"/>
              </w:rPr>
              <w:t xml:space="preserve">and present at </w:t>
            </w:r>
            <w:r w:rsidRPr="006E7C10" w:rsidR="00E10602">
              <w:rPr>
                <w:b w:val="0"/>
                <w:bCs w:val="0"/>
              </w:rPr>
              <w:t>seminars within the</w:t>
            </w:r>
            <w:r w:rsidRPr="006E7C10" w:rsidR="001A6EC2">
              <w:rPr>
                <w:b w:val="0"/>
                <w:bCs w:val="0"/>
              </w:rPr>
              <w:t xml:space="preserve"> </w:t>
            </w:r>
            <w:r w:rsidR="00866187">
              <w:rPr>
                <w:b w:val="0"/>
                <w:bCs w:val="0"/>
              </w:rPr>
              <w:t xml:space="preserve">Skin and Allergy Research Group, </w:t>
            </w:r>
            <w:r w:rsidRPr="006E7C10" w:rsidR="001A6EC2">
              <w:rPr>
                <w:b w:val="0"/>
                <w:bCs w:val="0"/>
              </w:rPr>
              <w:t>Centre for Academic Primary, Population Health Scien</w:t>
            </w:r>
            <w:r w:rsidRPr="006E7C10" w:rsidR="00822AE2">
              <w:rPr>
                <w:b w:val="0"/>
                <w:bCs w:val="0"/>
              </w:rPr>
              <w:t>ces and</w:t>
            </w:r>
            <w:r w:rsidRPr="006E7C10" w:rsidR="00E10602">
              <w:rPr>
                <w:b w:val="0"/>
                <w:bCs w:val="0"/>
              </w:rPr>
              <w:t xml:space="preserve"> wider University.</w:t>
            </w:r>
            <w:r w:rsidRPr="006E7C10" w:rsidR="00822AE2">
              <w:rPr>
                <w:b w:val="0"/>
                <w:bCs w:val="0"/>
              </w:rPr>
              <w:t xml:space="preserve">  As part of their regular supervision, t</w:t>
            </w:r>
            <w:r w:rsidRPr="006E7C10" w:rsidR="004740E0">
              <w:rPr>
                <w:b w:val="0"/>
                <w:bCs w:val="0"/>
              </w:rPr>
              <w:t>he student will</w:t>
            </w:r>
            <w:r w:rsidRPr="006E7C10" w:rsidR="00822AE2">
              <w:rPr>
                <w:b w:val="0"/>
                <w:bCs w:val="0"/>
              </w:rPr>
              <w:t xml:space="preserve"> </w:t>
            </w:r>
            <w:r w:rsidRPr="006E7C10" w:rsidR="004740E0">
              <w:rPr>
                <w:b w:val="0"/>
                <w:bCs w:val="0"/>
              </w:rPr>
              <w:t>receive career advice, mentoring, and support</w:t>
            </w:r>
            <w:r w:rsidRPr="006E7C10" w:rsidR="00E86DDA">
              <w:rPr>
                <w:b w:val="0"/>
                <w:bCs w:val="0"/>
              </w:rPr>
              <w:t xml:space="preserve">.  </w:t>
            </w:r>
            <w:r w:rsidRPr="006E7C10" w:rsidR="004740E0">
              <w:rPr>
                <w:b w:val="0"/>
                <w:bCs w:val="0"/>
              </w:rPr>
              <w:t xml:space="preserve">The student will </w:t>
            </w:r>
            <w:r w:rsidRPr="006E7C10" w:rsidR="00E86DDA">
              <w:rPr>
                <w:b w:val="0"/>
                <w:bCs w:val="0"/>
              </w:rPr>
              <w:t xml:space="preserve">be encouraged and supported to </w:t>
            </w:r>
            <w:r w:rsidRPr="006E7C10" w:rsidR="004740E0">
              <w:rPr>
                <w:b w:val="0"/>
                <w:bCs w:val="0"/>
              </w:rPr>
              <w:t>submit abstracts to relevant conferences.</w:t>
            </w:r>
            <w:r w:rsidRPr="006E7C10" w:rsidR="00266570">
              <w:rPr>
                <w:b w:val="0"/>
                <w:bCs w:val="0"/>
              </w:rPr>
              <w:t xml:space="preserve">  External mentorship will be offered.</w:t>
            </w:r>
          </w:p>
        </w:tc>
      </w:tr>
      <w:tr w:rsidRPr="00323521" w:rsidR="00EA7C68" w:rsidTr="002A1B47" w14:paraId="76FB9C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Pr="00A22D72" w:rsidR="00EA7C68" w:rsidP="006E7C10" w:rsidRDefault="00EA7C68" w14:paraId="48977F4E" w14:textId="18663FB4">
            <w:r w:rsidRPr="00323521">
              <w:rPr>
                <w:rFonts w:asciiTheme="minorHAnsi" w:hAnsiTheme="minorHAnsi"/>
                <w:i/>
                <w:szCs w:val="24"/>
              </w:rPr>
              <w:t xml:space="preserve">PPIE: </w:t>
            </w:r>
            <w:r w:rsidRPr="006E7C10" w:rsidR="00C30217">
              <w:rPr>
                <w:b w:val="0"/>
                <w:bCs w:val="0"/>
              </w:rPr>
              <w:t xml:space="preserve">A group of seven people with direct or indirect (as carers) lived experience of shingles </w:t>
            </w:r>
            <w:r w:rsidRPr="006E7C10" w:rsidR="00007585">
              <w:rPr>
                <w:b w:val="0"/>
                <w:bCs w:val="0"/>
              </w:rPr>
              <w:t xml:space="preserve">meet regularly as part of the ATHENA trial.  If this project is taken up, the student will be </w:t>
            </w:r>
            <w:r w:rsidRPr="006E7C10" w:rsidR="00A22D72">
              <w:rPr>
                <w:b w:val="0"/>
                <w:bCs w:val="0"/>
              </w:rPr>
              <w:t>able to regularly share their plans and progress with this group, inviting and responding to feedback as appropriate.</w:t>
            </w:r>
          </w:p>
        </w:tc>
      </w:tr>
    </w:tbl>
    <w:p w:rsidRPr="00323521" w:rsidR="00E0356E" w:rsidRDefault="00E0356E" w14:paraId="0C875D8F" w14:textId="77777777">
      <w:pPr>
        <w:rPr>
          <w:rFonts w:asciiTheme="minorHAnsi" w:hAnsiTheme="minorHAnsi"/>
          <w:szCs w:val="24"/>
        </w:rPr>
      </w:pPr>
    </w:p>
    <w:sectPr w:rsidRPr="00323521" w:rsidR="00E0356E" w:rsidSect="00EA7C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2A20" w:rsidP="008A5DEB" w:rsidRDefault="00582A20" w14:paraId="2EC6E4E1" w14:textId="77777777">
      <w:r>
        <w:separator/>
      </w:r>
    </w:p>
  </w:endnote>
  <w:endnote w:type="continuationSeparator" w:id="0">
    <w:p w:rsidR="00582A20" w:rsidP="008A5DEB" w:rsidRDefault="00582A20" w14:paraId="10B1D4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1DCD" w:rsidRDefault="00111DCD" w14:paraId="338259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AEA" w:rsidRDefault="00FF6AEA" w14:paraId="6DC4B00D" w14:textId="53736325">
    <w:pPr>
      <w:pStyle w:val="Footer"/>
    </w:pPr>
    <w:r>
      <w:t xml:space="preserve">Doctoral Training Programme for Primary Care Clinicians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1DCD" w:rsidRDefault="00111DCD" w14:paraId="7714E1A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2A20" w:rsidP="008A5DEB" w:rsidRDefault="00582A20" w14:paraId="5AFEE7F3" w14:textId="77777777">
      <w:r>
        <w:separator/>
      </w:r>
    </w:p>
  </w:footnote>
  <w:footnote w:type="continuationSeparator" w:id="0">
    <w:p w:rsidR="00582A20" w:rsidP="008A5DEB" w:rsidRDefault="00582A20" w14:paraId="4A66A4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1DCD" w:rsidRDefault="00111DCD" w14:paraId="13775A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F6AEA" w:rsidR="00FF6AEA" w:rsidRDefault="00FF6AEA" w14:paraId="5894953B" w14:textId="37862C93">
    <w:pPr>
      <w:pStyle w:val="Header"/>
      <w:rPr>
        <w:rFonts w:ascii="Calibri" w:hAnsi="Calibri" w:cs="Calibri"/>
      </w:rPr>
    </w:pPr>
    <w:r w:rsidRPr="00FF6AEA">
      <w:rPr>
        <w:rFonts w:ascii="Calibri" w:hAnsi="Calibri" w:cs="Calibri"/>
      </w:rPr>
      <w:t>October 2022 intake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1DCD" w:rsidRDefault="00111DCD" w14:paraId="3AE494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3DC"/>
    <w:multiLevelType w:val="hybridMultilevel"/>
    <w:tmpl w:val="1FAA0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3375E"/>
    <w:multiLevelType w:val="hybridMultilevel"/>
    <w:tmpl w:val="209ECB38"/>
    <w:lvl w:ilvl="0" w:tplc="3F423F8A">
      <w:start w:val="1"/>
      <w:numFmt w:val="lowerRoman"/>
      <w:lvlText w:val="(%1)"/>
      <w:lvlJc w:val="left"/>
      <w:pPr>
        <w:ind w:left="-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" w:hanging="360"/>
      </w:pPr>
    </w:lvl>
    <w:lvl w:ilvl="2" w:tplc="0809001B" w:tentative="1">
      <w:start w:val="1"/>
      <w:numFmt w:val="lowerRoman"/>
      <w:lvlText w:val="%3."/>
      <w:lvlJc w:val="right"/>
      <w:pPr>
        <w:ind w:left="1024" w:hanging="180"/>
      </w:pPr>
    </w:lvl>
    <w:lvl w:ilvl="3" w:tplc="0809000F" w:tentative="1">
      <w:start w:val="1"/>
      <w:numFmt w:val="decimal"/>
      <w:lvlText w:val="%4."/>
      <w:lvlJc w:val="left"/>
      <w:pPr>
        <w:ind w:left="1744" w:hanging="360"/>
      </w:pPr>
    </w:lvl>
    <w:lvl w:ilvl="4" w:tplc="08090019" w:tentative="1">
      <w:start w:val="1"/>
      <w:numFmt w:val="lowerLetter"/>
      <w:lvlText w:val="%5."/>
      <w:lvlJc w:val="left"/>
      <w:pPr>
        <w:ind w:left="2464" w:hanging="360"/>
      </w:pPr>
    </w:lvl>
    <w:lvl w:ilvl="5" w:tplc="0809001B" w:tentative="1">
      <w:start w:val="1"/>
      <w:numFmt w:val="lowerRoman"/>
      <w:lvlText w:val="%6."/>
      <w:lvlJc w:val="right"/>
      <w:pPr>
        <w:ind w:left="3184" w:hanging="180"/>
      </w:pPr>
    </w:lvl>
    <w:lvl w:ilvl="6" w:tplc="0809000F" w:tentative="1">
      <w:start w:val="1"/>
      <w:numFmt w:val="decimal"/>
      <w:lvlText w:val="%7."/>
      <w:lvlJc w:val="left"/>
      <w:pPr>
        <w:ind w:left="3904" w:hanging="360"/>
      </w:pPr>
    </w:lvl>
    <w:lvl w:ilvl="7" w:tplc="08090019" w:tentative="1">
      <w:start w:val="1"/>
      <w:numFmt w:val="lowerLetter"/>
      <w:lvlText w:val="%8."/>
      <w:lvlJc w:val="left"/>
      <w:pPr>
        <w:ind w:left="4624" w:hanging="360"/>
      </w:pPr>
    </w:lvl>
    <w:lvl w:ilvl="8" w:tplc="08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" w15:restartNumberingAfterBreak="0">
    <w:nsid w:val="6F8224FF"/>
    <w:multiLevelType w:val="hybridMultilevel"/>
    <w:tmpl w:val="8430C0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6E"/>
    <w:rsid w:val="00000BB8"/>
    <w:rsid w:val="00003C1C"/>
    <w:rsid w:val="0000485D"/>
    <w:rsid w:val="00007585"/>
    <w:rsid w:val="0001510C"/>
    <w:rsid w:val="00041849"/>
    <w:rsid w:val="00047140"/>
    <w:rsid w:val="00056716"/>
    <w:rsid w:val="00071F08"/>
    <w:rsid w:val="0009232A"/>
    <w:rsid w:val="000A3789"/>
    <w:rsid w:val="000B49A5"/>
    <w:rsid w:val="000D68C1"/>
    <w:rsid w:val="000E2293"/>
    <w:rsid w:val="000F1AA5"/>
    <w:rsid w:val="000F320E"/>
    <w:rsid w:val="000F4709"/>
    <w:rsid w:val="00111DCD"/>
    <w:rsid w:val="00134FE8"/>
    <w:rsid w:val="00140508"/>
    <w:rsid w:val="00153B8A"/>
    <w:rsid w:val="00186D18"/>
    <w:rsid w:val="001A6EC2"/>
    <w:rsid w:val="001A762E"/>
    <w:rsid w:val="001B33BF"/>
    <w:rsid w:val="001D5489"/>
    <w:rsid w:val="001E26D9"/>
    <w:rsid w:val="001E415A"/>
    <w:rsid w:val="001F1E14"/>
    <w:rsid w:val="0021271C"/>
    <w:rsid w:val="00213F5B"/>
    <w:rsid w:val="00244693"/>
    <w:rsid w:val="00266570"/>
    <w:rsid w:val="002671E9"/>
    <w:rsid w:val="00271D93"/>
    <w:rsid w:val="00272B07"/>
    <w:rsid w:val="00274ACB"/>
    <w:rsid w:val="00282275"/>
    <w:rsid w:val="00296FE7"/>
    <w:rsid w:val="002A1B47"/>
    <w:rsid w:val="002B0282"/>
    <w:rsid w:val="002B0F95"/>
    <w:rsid w:val="002B6162"/>
    <w:rsid w:val="002F31FE"/>
    <w:rsid w:val="002F3FC5"/>
    <w:rsid w:val="002F447A"/>
    <w:rsid w:val="00323521"/>
    <w:rsid w:val="0033700D"/>
    <w:rsid w:val="00346AA9"/>
    <w:rsid w:val="003544D9"/>
    <w:rsid w:val="00360CDF"/>
    <w:rsid w:val="00361864"/>
    <w:rsid w:val="00362B4E"/>
    <w:rsid w:val="0037518D"/>
    <w:rsid w:val="0039218E"/>
    <w:rsid w:val="003944AF"/>
    <w:rsid w:val="003A70DA"/>
    <w:rsid w:val="003C2BE9"/>
    <w:rsid w:val="003D189F"/>
    <w:rsid w:val="003E2B32"/>
    <w:rsid w:val="003E58D0"/>
    <w:rsid w:val="00414B23"/>
    <w:rsid w:val="00430C56"/>
    <w:rsid w:val="00437B12"/>
    <w:rsid w:val="00446026"/>
    <w:rsid w:val="00472C86"/>
    <w:rsid w:val="004740E0"/>
    <w:rsid w:val="004C01E0"/>
    <w:rsid w:val="004C1600"/>
    <w:rsid w:val="004D7799"/>
    <w:rsid w:val="004D7CE1"/>
    <w:rsid w:val="004E2D62"/>
    <w:rsid w:val="004E3A03"/>
    <w:rsid w:val="004E3BC1"/>
    <w:rsid w:val="004E5B5D"/>
    <w:rsid w:val="00515545"/>
    <w:rsid w:val="00540F80"/>
    <w:rsid w:val="00551583"/>
    <w:rsid w:val="005567D9"/>
    <w:rsid w:val="00582A20"/>
    <w:rsid w:val="005A57D5"/>
    <w:rsid w:val="005D0651"/>
    <w:rsid w:val="005D5EDD"/>
    <w:rsid w:val="005D6245"/>
    <w:rsid w:val="005E131D"/>
    <w:rsid w:val="00607882"/>
    <w:rsid w:val="00617965"/>
    <w:rsid w:val="0062718D"/>
    <w:rsid w:val="00630BDA"/>
    <w:rsid w:val="006640E1"/>
    <w:rsid w:val="00670268"/>
    <w:rsid w:val="00670521"/>
    <w:rsid w:val="006A5AAA"/>
    <w:rsid w:val="006B0416"/>
    <w:rsid w:val="006C31D6"/>
    <w:rsid w:val="006D4351"/>
    <w:rsid w:val="006E7C10"/>
    <w:rsid w:val="00715020"/>
    <w:rsid w:val="00717998"/>
    <w:rsid w:val="00717BF6"/>
    <w:rsid w:val="00717EAA"/>
    <w:rsid w:val="00731F81"/>
    <w:rsid w:val="00740CF0"/>
    <w:rsid w:val="00741BF8"/>
    <w:rsid w:val="00745C14"/>
    <w:rsid w:val="00747A0E"/>
    <w:rsid w:val="007647B6"/>
    <w:rsid w:val="00787EF3"/>
    <w:rsid w:val="007A105D"/>
    <w:rsid w:val="007B0ABA"/>
    <w:rsid w:val="007C2868"/>
    <w:rsid w:val="007C7C4D"/>
    <w:rsid w:val="007D5DC9"/>
    <w:rsid w:val="007E11EC"/>
    <w:rsid w:val="007E708A"/>
    <w:rsid w:val="008058F3"/>
    <w:rsid w:val="008129D2"/>
    <w:rsid w:val="00814EF3"/>
    <w:rsid w:val="00817084"/>
    <w:rsid w:val="00822AE2"/>
    <w:rsid w:val="00832C40"/>
    <w:rsid w:val="008410F0"/>
    <w:rsid w:val="008457B4"/>
    <w:rsid w:val="008465A5"/>
    <w:rsid w:val="00866187"/>
    <w:rsid w:val="00867571"/>
    <w:rsid w:val="008860B9"/>
    <w:rsid w:val="008861AB"/>
    <w:rsid w:val="008862C6"/>
    <w:rsid w:val="008A4F2A"/>
    <w:rsid w:val="008A5CF7"/>
    <w:rsid w:val="008A5DEB"/>
    <w:rsid w:val="008A600A"/>
    <w:rsid w:val="008B2B17"/>
    <w:rsid w:val="008B3BCC"/>
    <w:rsid w:val="008D5C4B"/>
    <w:rsid w:val="008F6020"/>
    <w:rsid w:val="0090163F"/>
    <w:rsid w:val="00902EC0"/>
    <w:rsid w:val="0090360F"/>
    <w:rsid w:val="00945876"/>
    <w:rsid w:val="00946D70"/>
    <w:rsid w:val="00956790"/>
    <w:rsid w:val="00984679"/>
    <w:rsid w:val="00990D54"/>
    <w:rsid w:val="009B098C"/>
    <w:rsid w:val="009B0BD4"/>
    <w:rsid w:val="009E32F9"/>
    <w:rsid w:val="009F02CD"/>
    <w:rsid w:val="009F24DA"/>
    <w:rsid w:val="009F6EAA"/>
    <w:rsid w:val="00A1508E"/>
    <w:rsid w:val="00A22D72"/>
    <w:rsid w:val="00A27243"/>
    <w:rsid w:val="00A66030"/>
    <w:rsid w:val="00A808EA"/>
    <w:rsid w:val="00A87625"/>
    <w:rsid w:val="00AC5D34"/>
    <w:rsid w:val="00AC6923"/>
    <w:rsid w:val="00AE000E"/>
    <w:rsid w:val="00AE05ED"/>
    <w:rsid w:val="00AE5DEF"/>
    <w:rsid w:val="00B04BDE"/>
    <w:rsid w:val="00B143E9"/>
    <w:rsid w:val="00B143F6"/>
    <w:rsid w:val="00B4102C"/>
    <w:rsid w:val="00B43E0E"/>
    <w:rsid w:val="00B45CE0"/>
    <w:rsid w:val="00B64D58"/>
    <w:rsid w:val="00B73D2C"/>
    <w:rsid w:val="00B81698"/>
    <w:rsid w:val="00B83492"/>
    <w:rsid w:val="00B90FE2"/>
    <w:rsid w:val="00BA4C1A"/>
    <w:rsid w:val="00BC3F62"/>
    <w:rsid w:val="00BF479A"/>
    <w:rsid w:val="00C01CE5"/>
    <w:rsid w:val="00C258FF"/>
    <w:rsid w:val="00C25A42"/>
    <w:rsid w:val="00C30217"/>
    <w:rsid w:val="00C35ADA"/>
    <w:rsid w:val="00C37508"/>
    <w:rsid w:val="00C51AB0"/>
    <w:rsid w:val="00C53F18"/>
    <w:rsid w:val="00C541F3"/>
    <w:rsid w:val="00C55606"/>
    <w:rsid w:val="00C61C47"/>
    <w:rsid w:val="00C75656"/>
    <w:rsid w:val="00C76769"/>
    <w:rsid w:val="00C82301"/>
    <w:rsid w:val="00C841CE"/>
    <w:rsid w:val="00CB5684"/>
    <w:rsid w:val="00CB7011"/>
    <w:rsid w:val="00CC00A5"/>
    <w:rsid w:val="00CC213E"/>
    <w:rsid w:val="00CC2AE6"/>
    <w:rsid w:val="00CD2157"/>
    <w:rsid w:val="00CD2A49"/>
    <w:rsid w:val="00CE12FD"/>
    <w:rsid w:val="00D03ED2"/>
    <w:rsid w:val="00D21865"/>
    <w:rsid w:val="00D54D8B"/>
    <w:rsid w:val="00D6398E"/>
    <w:rsid w:val="00D72302"/>
    <w:rsid w:val="00D72DEF"/>
    <w:rsid w:val="00D80443"/>
    <w:rsid w:val="00D834B3"/>
    <w:rsid w:val="00D94D24"/>
    <w:rsid w:val="00DB6C83"/>
    <w:rsid w:val="00DB6F63"/>
    <w:rsid w:val="00DE5920"/>
    <w:rsid w:val="00DF7E6F"/>
    <w:rsid w:val="00E0356E"/>
    <w:rsid w:val="00E10602"/>
    <w:rsid w:val="00E172DA"/>
    <w:rsid w:val="00E52C32"/>
    <w:rsid w:val="00E646D8"/>
    <w:rsid w:val="00E71F6C"/>
    <w:rsid w:val="00E86DDA"/>
    <w:rsid w:val="00EA4623"/>
    <w:rsid w:val="00EA7C68"/>
    <w:rsid w:val="00EB24C6"/>
    <w:rsid w:val="00EB3D06"/>
    <w:rsid w:val="00EC1903"/>
    <w:rsid w:val="00EC6D60"/>
    <w:rsid w:val="00EE0750"/>
    <w:rsid w:val="00EE0BF6"/>
    <w:rsid w:val="00EF3889"/>
    <w:rsid w:val="00F447EE"/>
    <w:rsid w:val="00F6270E"/>
    <w:rsid w:val="00F65503"/>
    <w:rsid w:val="00F659AE"/>
    <w:rsid w:val="00F84656"/>
    <w:rsid w:val="00F85089"/>
    <w:rsid w:val="00FC4A29"/>
    <w:rsid w:val="00FE0982"/>
    <w:rsid w:val="00FF6AEA"/>
    <w:rsid w:val="0ED09111"/>
    <w:rsid w:val="7F018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6CBD6"/>
  <w15:docId w15:val="{F955EE96-C271-4258-87A6-30EE79D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hAnsi="Corbel" w:cs="Arial" w:eastAsiaTheme="minorHAnsi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0BDA"/>
    <w:pPr>
      <w:spacing w:after="0" w:line="240" w:lineRule="auto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6Colorful-Accent51" w:customStyle="1">
    <w:name w:val="Grid Table 6 Colorful - Accent 51"/>
    <w:basedOn w:val="TableNormal"/>
    <w:uiPriority w:val="51"/>
    <w:rsid w:val="00540F8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A5DEB"/>
    <w:rPr>
      <w:rFonts w:ascii="Arial" w:hAnsi="Arial" w:eastAsia="Times New Roman" w:cs="Times New Roman"/>
      <w:sz w:val="20"/>
      <w:lang w:eastAsia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A5DEB"/>
    <w:rPr>
      <w:rFonts w:ascii="Arial" w:hAnsi="Arial" w:eastAsia="Times New Roman" w:cs="Times New Roman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5D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8FF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0282"/>
    <w:pPr>
      <w:spacing w:before="100" w:beforeAutospacing="1" w:after="100" w:afterAutospacing="1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NormalWebChar" w:customStyle="1">
    <w:name w:val="Normal (Web) Char"/>
    <w:basedOn w:val="DefaultParagraphFont"/>
    <w:link w:val="NormalWeb"/>
    <w:uiPriority w:val="99"/>
    <w:rsid w:val="002B0282"/>
    <w:rPr>
      <w:rFonts w:ascii="Times New Roman" w:hAnsi="Times New Roman" w:eastAsia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2B0282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Times New Roman" w:hAnsi="Times New Roman" w:eastAsia="Times New Roman" w:cs="Times New Roman"/>
      <w:b/>
      <w:sz w:val="22"/>
    </w:rPr>
  </w:style>
  <w:style w:type="character" w:styleId="BodyText2Char" w:customStyle="1">
    <w:name w:val="Body Text 2 Char"/>
    <w:basedOn w:val="DefaultParagraphFont"/>
    <w:link w:val="BodyText2"/>
    <w:rsid w:val="002B0282"/>
    <w:rPr>
      <w:rFonts w:ascii="Times New Roman" w:hAnsi="Times New Roman" w:eastAsia="Times New Roman" w:cs="Times New Roman"/>
      <w:b/>
      <w:sz w:val="22"/>
    </w:rPr>
  </w:style>
  <w:style w:type="table" w:styleId="GridTable1Light-Accent11" w:customStyle="1">
    <w:name w:val="Grid Table 1 Light - Accent 11"/>
    <w:basedOn w:val="TableNormal"/>
    <w:uiPriority w:val="46"/>
    <w:rsid w:val="00323521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6AE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F6AEA"/>
  </w:style>
  <w:style w:type="paragraph" w:styleId="Footer">
    <w:name w:val="footer"/>
    <w:basedOn w:val="Normal"/>
    <w:link w:val="FooterChar"/>
    <w:uiPriority w:val="99"/>
    <w:unhideWhenUsed/>
    <w:rsid w:val="00FF6AE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F6AEA"/>
  </w:style>
  <w:style w:type="character" w:styleId="PlaceholderText">
    <w:name w:val="Placeholder Text"/>
    <w:basedOn w:val="DefaultParagraphFont"/>
    <w:uiPriority w:val="99"/>
    <w:semiHidden/>
    <w:rsid w:val="002F31FE"/>
    <w:rPr>
      <w:color w:val="808080"/>
    </w:rPr>
  </w:style>
  <w:style w:type="character" w:styleId="job-description" w:customStyle="1">
    <w:name w:val="job-description"/>
    <w:basedOn w:val="DefaultParagraphFont"/>
    <w:rsid w:val="00551583"/>
  </w:style>
  <w:style w:type="character" w:styleId="Hyperlink">
    <w:name w:val="Hyperlink"/>
    <w:basedOn w:val="DefaultParagraphFont"/>
    <w:uiPriority w:val="99"/>
    <w:unhideWhenUsed/>
    <w:rsid w:val="00AE5DEF"/>
    <w:rPr>
      <w:color w:val="0000FF"/>
      <w:u w:val="single"/>
    </w:rPr>
  </w:style>
  <w:style w:type="paragraph" w:styleId="Default" w:customStyle="1">
    <w:name w:val="Default"/>
    <w:rsid w:val="00B73D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6D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4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BDE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04BD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BD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04BDE"/>
    <w:rPr>
      <w:b/>
      <w:bCs/>
      <w:sz w:val="20"/>
    </w:rPr>
  </w:style>
  <w:style w:type="paragraph" w:styleId="Revision">
    <w:name w:val="Revision"/>
    <w:hidden/>
    <w:uiPriority w:val="99"/>
    <w:semiHidden/>
    <w:rsid w:val="00B04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asp-pain.org/group/neuropathic-pain-neupsig/" TargetMode="Externa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customXml" Target="../customXml/item3.xml" Id="rId21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hyperlink" Target="https://uob-my.sharepoint.com/personal/epmjr_bristol_ac_uk/Documents/Documents/My%20research/my%20proposals/Wellcome%20PhD%20programme/(www.phc.ox.ac.uk/study/short-courses-in-qualitative-research-methods)" TargetMode="Externa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://www.bristol.ac.uk/medical-school/study/short-courses/" TargetMode="External" Id="rId9" /><Relationship Type="http://schemas.openxmlformats.org/officeDocument/2006/relationships/footer" Target="footer2.xml" Id="rId14" /><Relationship Type="http://schemas.openxmlformats.org/officeDocument/2006/relationships/customXml" Target="../customXml/item4.xml" Id="rId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FA2247D3034A4B95677780CBA9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B3A0-4B94-4FF5-A8AF-E26C41DF88F6}"/>
      </w:docPartPr>
      <w:docPartBody>
        <w:p w:rsidR="00607F77" w:rsidRDefault="009B098C" w:rsidP="009B098C">
          <w:pPr>
            <w:pStyle w:val="A8FA2247D3034A4B95677780CBA96BF9"/>
          </w:pPr>
          <w:r w:rsidRPr="00786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8C"/>
    <w:rsid w:val="00397612"/>
    <w:rsid w:val="004867FE"/>
    <w:rsid w:val="00575EB9"/>
    <w:rsid w:val="00607F77"/>
    <w:rsid w:val="009B098C"/>
    <w:rsid w:val="00E3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98C"/>
    <w:rPr>
      <w:color w:val="808080"/>
    </w:rPr>
  </w:style>
  <w:style w:type="paragraph" w:customStyle="1" w:styleId="A8FA2247D3034A4B95677780CBA96BF9">
    <w:name w:val="A8FA2247D3034A4B95677780CBA96BF9"/>
    <w:rsid w:val="009B098C"/>
    <w:rPr>
      <w:rFonts w:ascii="Corbel" w:eastAsiaTheme="minorHAnsi" w:hAnsi="Corbel" w:cs="Arial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3" ma:contentTypeDescription="Create a new document." ma:contentTypeScope="" ma:versionID="ea103398c87fa15fa49a5620cc0fb5ef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64bbf29d45d49662374bd47ff9dd6a54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EE9C51-C641-4ABD-904A-739BE1A8EE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D4CAB-17E4-4A17-BD3C-42F23A7C9C3F}"/>
</file>

<file path=customXml/itemProps3.xml><?xml version="1.0" encoding="utf-8"?>
<ds:datastoreItem xmlns:ds="http://schemas.openxmlformats.org/officeDocument/2006/customXml" ds:itemID="{465A4845-1152-4465-A4D7-672065075DE1}"/>
</file>

<file path=customXml/itemProps4.xml><?xml version="1.0" encoding="utf-8"?>
<ds:datastoreItem xmlns:ds="http://schemas.openxmlformats.org/officeDocument/2006/customXml" ds:itemID="{FF9EE996-C563-4A67-B54F-F435584BA3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Primary Care Sciences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pra79</dc:creator>
  <cp:lastModifiedBy>Esther Van Vliet</cp:lastModifiedBy>
  <cp:revision>9</cp:revision>
  <dcterms:created xsi:type="dcterms:W3CDTF">2022-01-10T06:44:00Z</dcterms:created>
  <dcterms:modified xsi:type="dcterms:W3CDTF">2022-01-13T11:07:44Z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