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69AB76CB"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214CCA9F">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C1D44">
                  <w:rPr>
                    <w:rFonts w:asciiTheme="minorHAnsi" w:hAnsiTheme="minorHAnsi"/>
                    <w:color w:val="2E74B5" w:themeColor="accent1" w:themeShade="BF"/>
                    <w:sz w:val="28"/>
                    <w:szCs w:val="24"/>
                  </w:rPr>
                  <w:t>Southampton</w:t>
                </w:r>
                <w:proofErr w:type="spellEnd"/>
                <w:r w:rsidR="007C1D44">
                  <w:rPr>
                    <w:rFonts w:asciiTheme="minorHAnsi" w:hAnsiTheme="minorHAnsi"/>
                    <w:color w:val="2E74B5" w:themeColor="accent1" w:themeShade="BF"/>
                    <w:sz w:val="28"/>
                    <w:szCs w:val="24"/>
                  </w:rPr>
                  <w:t xml:space="preserve"> (with University of Oxford) </w:t>
                </w:r>
              </w:sdtContent>
            </w:sdt>
          </w:p>
        </w:tc>
      </w:tr>
      <w:tr w:rsidRPr="00323521" w:rsidR="008A5DEB" w:rsidTr="69AB76CB"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69AB76CB"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01AE1" w:rsidR="00274ACB" w:rsidP="008A5DEB" w:rsidRDefault="007C1D44" w14:paraId="7173F29A" w14:textId="365A0FBA">
            <w:pPr>
              <w:spacing w:after="120"/>
              <w:rPr>
                <w:rFonts w:asciiTheme="minorHAnsi" w:hAnsiTheme="minorHAnsi"/>
                <w:b w:val="0"/>
                <w:bCs w:val="0"/>
                <w:szCs w:val="24"/>
              </w:rPr>
            </w:pPr>
            <w:r w:rsidRPr="00A01AE1">
              <w:rPr>
                <w:rStyle w:val="normaltextrun"/>
                <w:rFonts w:ascii="Calibri" w:hAnsi="Calibri" w:cs="Calibri"/>
                <w:b w:val="0"/>
                <w:bCs w:val="0"/>
                <w:color w:val="000000"/>
                <w:szCs w:val="24"/>
                <w:shd w:val="clear" w:color="auto" w:fill="FFFFFF"/>
                <w:lang w:val="en-US"/>
              </w:rPr>
              <w:t>Using big data and artificial intelligence (AI) to quantify holistic need in people with multiple long-term conditions (MLTC-M)</w:t>
            </w:r>
            <w:r w:rsidRPr="00A01AE1">
              <w:rPr>
                <w:rStyle w:val="eop"/>
                <w:rFonts w:ascii="Calibri" w:hAnsi="Calibri" w:cs="Calibri"/>
                <w:b w:val="0"/>
                <w:bCs w:val="0"/>
                <w:color w:val="000000"/>
                <w:szCs w:val="24"/>
                <w:shd w:val="clear" w:color="auto" w:fill="FFFFFF"/>
              </w:rPr>
              <w:t> </w:t>
            </w:r>
          </w:p>
        </w:tc>
      </w:tr>
      <w:tr w:rsidRPr="00323521" w:rsidR="00E0356E" w:rsidTr="69AB76CB"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69AB76CB"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A01AE1" w:rsidR="007C1D44" w:rsidP="007C1D44" w:rsidRDefault="007C1D44" w14:paraId="71B723A6" w14:textId="77777777">
            <w:pPr>
              <w:rPr>
                <w:rFonts w:asciiTheme="minorHAnsi" w:hAnsiTheme="minorHAnsi"/>
                <w:b w:val="0"/>
                <w:bCs w:val="0"/>
                <w:szCs w:val="24"/>
              </w:rPr>
            </w:pPr>
            <w:r w:rsidRPr="00A01AE1">
              <w:rPr>
                <w:rFonts w:asciiTheme="minorHAnsi" w:hAnsiTheme="minorHAnsi"/>
                <w:b w:val="0"/>
                <w:bCs w:val="0"/>
                <w:szCs w:val="24"/>
              </w:rPr>
              <w:t>Dr Hajira Dambha-Miller (big data and epidemiology) Southampton</w:t>
            </w:r>
          </w:p>
          <w:p w:rsidRPr="00A01AE1" w:rsidR="007C1D44" w:rsidP="007C1D44" w:rsidRDefault="007C1D44" w14:paraId="19DF7F88" w14:textId="77777777">
            <w:pPr>
              <w:rPr>
                <w:rFonts w:asciiTheme="minorHAnsi" w:hAnsiTheme="minorHAnsi" w:cstheme="minorHAnsi"/>
                <w:b w:val="0"/>
                <w:bCs w:val="0"/>
                <w:color w:val="000000" w:themeColor="text1"/>
                <w:szCs w:val="24"/>
              </w:rPr>
            </w:pPr>
            <w:r w:rsidRPr="00A01AE1">
              <w:rPr>
                <w:rFonts w:asciiTheme="minorHAnsi" w:hAnsiTheme="minorHAnsi"/>
                <w:b w:val="0"/>
                <w:bCs w:val="0"/>
                <w:szCs w:val="24"/>
              </w:rPr>
              <w:t>Professor Andrew Farmer</w:t>
            </w:r>
            <w:r w:rsidRPr="00A01AE1">
              <w:rPr>
                <w:rFonts w:asciiTheme="minorHAnsi" w:hAnsiTheme="minorHAnsi" w:cstheme="minorHAnsi"/>
                <w:b w:val="0"/>
                <w:bCs w:val="0"/>
                <w:szCs w:val="24"/>
              </w:rPr>
              <w:t xml:space="preserve"> </w:t>
            </w:r>
            <w:r w:rsidRPr="00A01AE1">
              <w:rPr>
                <w:rFonts w:asciiTheme="minorHAnsi" w:hAnsiTheme="minorHAnsi" w:cstheme="minorHAnsi"/>
                <w:b w:val="0"/>
                <w:bCs w:val="0"/>
                <w:color w:val="000000" w:themeColor="text1"/>
                <w:szCs w:val="24"/>
              </w:rPr>
              <w:t>(clinical and mixed methods expertise) Oxford</w:t>
            </w:r>
          </w:p>
          <w:p w:rsidRPr="005E5400" w:rsidR="00274ACB" w:rsidP="007C1D44" w:rsidRDefault="007C1D44" w14:paraId="4976C3BE" w14:textId="36156D73">
            <w:pPr>
              <w:rPr>
                <w:rFonts w:asciiTheme="minorHAnsi" w:hAnsiTheme="minorHAnsi" w:cstheme="minorHAnsi"/>
                <w:b w:val="0"/>
                <w:bCs w:val="0"/>
                <w:color w:val="000000" w:themeColor="text1"/>
                <w:szCs w:val="24"/>
              </w:rPr>
            </w:pPr>
            <w:r w:rsidRPr="00A01AE1">
              <w:rPr>
                <w:rFonts w:asciiTheme="minorHAnsi" w:hAnsiTheme="minorHAnsi" w:cstheme="minorHAnsi"/>
                <w:b w:val="0"/>
                <w:bCs w:val="0"/>
                <w:color w:val="000000" w:themeColor="text1"/>
                <w:szCs w:val="24"/>
              </w:rPr>
              <w:t>Professor Beth Stuart (statistics) Southampton</w:t>
            </w:r>
          </w:p>
        </w:tc>
      </w:tr>
      <w:tr w:rsidRPr="00323521" w:rsidR="00787EF3" w:rsidTr="69AB76CB"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69AB76CB"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E5400" w:rsidR="005E5400" w:rsidP="005E5400" w:rsidRDefault="00B95A5B" w14:paraId="220F35E2" w14:textId="6F14B4E8">
            <w:pPr>
              <w:spacing w:line="276" w:lineRule="auto"/>
              <w:jc w:val="both"/>
              <w:rPr>
                <w:rFonts w:asciiTheme="minorHAnsi" w:hAnsiTheme="minorHAnsi" w:cstheme="minorHAnsi"/>
                <w:b w:val="0"/>
                <w:bCs w:val="0"/>
                <w:color w:val="202124"/>
                <w:szCs w:val="24"/>
                <w:shd w:val="clear" w:color="auto" w:fill="FFFFFF"/>
              </w:rPr>
            </w:pPr>
            <w:r w:rsidRPr="005E5400">
              <w:rPr>
                <w:rFonts w:asciiTheme="minorHAnsi" w:hAnsiTheme="minorHAnsi" w:cstheme="minorHAnsi"/>
                <w:b w:val="0"/>
                <w:bCs w:val="0"/>
                <w:szCs w:val="24"/>
              </w:rPr>
              <w:t xml:space="preserve">The project includes access to mid and </w:t>
            </w:r>
            <w:r w:rsidRPr="005E5400" w:rsidR="00A01AE1">
              <w:rPr>
                <w:rFonts w:asciiTheme="minorHAnsi" w:hAnsiTheme="minorHAnsi" w:cstheme="minorHAnsi"/>
                <w:b w:val="0"/>
                <w:bCs w:val="0"/>
                <w:szCs w:val="24"/>
              </w:rPr>
              <w:t>senior-level</w:t>
            </w:r>
            <w:r w:rsidRPr="005E5400">
              <w:rPr>
                <w:rFonts w:asciiTheme="minorHAnsi" w:hAnsiTheme="minorHAnsi" w:cstheme="minorHAnsi"/>
                <w:b w:val="0"/>
                <w:bCs w:val="0"/>
                <w:szCs w:val="24"/>
              </w:rPr>
              <w:t xml:space="preserve"> researchers across three SPCR</w:t>
            </w:r>
            <w:r w:rsidRPr="005E5400" w:rsidR="00A01AE1">
              <w:rPr>
                <w:rFonts w:asciiTheme="minorHAnsi" w:hAnsiTheme="minorHAnsi" w:cstheme="minorHAnsi"/>
                <w:b w:val="0"/>
                <w:bCs w:val="0"/>
                <w:szCs w:val="24"/>
              </w:rPr>
              <w:t xml:space="preserve"> departments</w:t>
            </w:r>
            <w:r w:rsidRPr="005E5400">
              <w:rPr>
                <w:rFonts w:asciiTheme="minorHAnsi" w:hAnsiTheme="minorHAnsi" w:cstheme="minorHAnsi"/>
                <w:b w:val="0"/>
                <w:bCs w:val="0"/>
                <w:szCs w:val="24"/>
              </w:rPr>
              <w:t xml:space="preserve"> (Oxford, Nottingham, </w:t>
            </w:r>
            <w:proofErr w:type="gramStart"/>
            <w:r w:rsidRPr="005E5400">
              <w:rPr>
                <w:rFonts w:asciiTheme="minorHAnsi" w:hAnsiTheme="minorHAnsi" w:cstheme="minorHAnsi"/>
                <w:b w:val="0"/>
                <w:bCs w:val="0"/>
                <w:szCs w:val="24"/>
              </w:rPr>
              <w:t>Southampton</w:t>
            </w:r>
            <w:proofErr w:type="gramEnd"/>
            <w:r w:rsidRPr="005E5400">
              <w:rPr>
                <w:rFonts w:asciiTheme="minorHAnsi" w:hAnsiTheme="minorHAnsi" w:cstheme="minorHAnsi"/>
                <w:b w:val="0"/>
                <w:bCs w:val="0"/>
                <w:szCs w:val="24"/>
              </w:rPr>
              <w:t>) a</w:t>
            </w:r>
            <w:r w:rsidRPr="005E5400" w:rsidR="00A01AE1">
              <w:rPr>
                <w:rFonts w:asciiTheme="minorHAnsi" w:hAnsiTheme="minorHAnsi" w:cstheme="minorHAnsi"/>
                <w:b w:val="0"/>
                <w:bCs w:val="0"/>
                <w:szCs w:val="24"/>
              </w:rPr>
              <w:t>longside</w:t>
            </w:r>
            <w:r w:rsidRPr="005E5400">
              <w:rPr>
                <w:rFonts w:asciiTheme="minorHAnsi" w:hAnsiTheme="minorHAnsi" w:cstheme="minorHAnsi"/>
                <w:b w:val="0"/>
                <w:bCs w:val="0"/>
                <w:szCs w:val="24"/>
              </w:rPr>
              <w:t xml:space="preserve"> external collaborators (Cambridge and Kent)</w:t>
            </w:r>
            <w:r w:rsidRPr="005E5400" w:rsidR="00A01AE1">
              <w:rPr>
                <w:rFonts w:asciiTheme="minorHAnsi" w:hAnsiTheme="minorHAnsi" w:cstheme="minorHAnsi"/>
                <w:b w:val="0"/>
                <w:bCs w:val="0"/>
                <w:szCs w:val="24"/>
              </w:rPr>
              <w:t xml:space="preserve">. The candidate will have access to leading experts in </w:t>
            </w:r>
            <w:r w:rsidR="005E5400">
              <w:rPr>
                <w:rFonts w:asciiTheme="minorHAnsi" w:hAnsiTheme="minorHAnsi" w:cstheme="minorHAnsi"/>
                <w:b w:val="0"/>
                <w:bCs w:val="0"/>
                <w:szCs w:val="24"/>
              </w:rPr>
              <w:t>p</w:t>
            </w:r>
            <w:r w:rsidR="005E5400">
              <w:rPr>
                <w:rFonts w:asciiTheme="minorHAnsi" w:hAnsiTheme="minorHAnsi" w:cstheme="minorHAnsi"/>
                <w:b w:val="0"/>
                <w:bCs w:val="0"/>
              </w:rPr>
              <w:t xml:space="preserve">rimary care, </w:t>
            </w:r>
            <w:r w:rsidRPr="005E5400" w:rsidR="00A01AE1">
              <w:rPr>
                <w:rFonts w:asciiTheme="minorHAnsi" w:hAnsiTheme="minorHAnsi" w:cstheme="minorHAnsi"/>
                <w:b w:val="0"/>
                <w:bCs w:val="0"/>
                <w:szCs w:val="24"/>
              </w:rPr>
              <w:t>data science, epidemiology, statistics, AI and multimorbidity. The wider AIM team have a</w:t>
            </w:r>
            <w:r w:rsidRPr="005E5400">
              <w:rPr>
                <w:rFonts w:asciiTheme="minorHAnsi" w:hAnsiTheme="minorHAnsi" w:cstheme="minorHAnsi"/>
                <w:b w:val="0"/>
                <w:bCs w:val="0"/>
                <w:szCs w:val="24"/>
              </w:rPr>
              <w:t xml:space="preserve"> </w:t>
            </w:r>
            <w:r w:rsidRPr="005E5400">
              <w:rPr>
                <w:rStyle w:val="normaltextrun"/>
                <w:rFonts w:asciiTheme="minorHAnsi" w:hAnsiTheme="minorHAnsi" w:cstheme="minorHAnsi"/>
                <w:b w:val="0"/>
                <w:bCs w:val="0"/>
                <w:color w:val="202124"/>
                <w:szCs w:val="24"/>
                <w:shd w:val="clear" w:color="auto" w:fill="FFFFFF"/>
              </w:rPr>
              <w:t>breath of methodological, subject and practical expertise to provide</w:t>
            </w:r>
            <w:r w:rsidRPr="005E5400" w:rsidR="00A01AE1">
              <w:rPr>
                <w:rStyle w:val="normaltextrun"/>
                <w:rFonts w:asciiTheme="minorHAnsi" w:hAnsiTheme="minorHAnsi" w:cstheme="minorHAnsi"/>
                <w:b w:val="0"/>
                <w:bCs w:val="0"/>
                <w:color w:val="202124"/>
                <w:szCs w:val="24"/>
                <w:shd w:val="clear" w:color="auto" w:fill="FFFFFF"/>
              </w:rPr>
              <w:t xml:space="preserve"> educational opportunities to the candidate. This will </w:t>
            </w:r>
            <w:proofErr w:type="gramStart"/>
            <w:r w:rsidRPr="005E5400" w:rsidR="00A01AE1">
              <w:rPr>
                <w:rStyle w:val="normaltextrun"/>
                <w:rFonts w:asciiTheme="minorHAnsi" w:hAnsiTheme="minorHAnsi" w:cstheme="minorHAnsi"/>
                <w:b w:val="0"/>
                <w:bCs w:val="0"/>
                <w:color w:val="202124"/>
                <w:szCs w:val="24"/>
                <w:shd w:val="clear" w:color="auto" w:fill="FFFFFF"/>
              </w:rPr>
              <w:t>include  1:1</w:t>
            </w:r>
            <w:proofErr w:type="gramEnd"/>
            <w:r w:rsidRPr="005E5400" w:rsidR="00A01AE1">
              <w:rPr>
                <w:rStyle w:val="normaltextrun"/>
                <w:rFonts w:asciiTheme="minorHAnsi" w:hAnsiTheme="minorHAnsi" w:cstheme="minorHAnsi"/>
                <w:b w:val="0"/>
                <w:bCs w:val="0"/>
                <w:color w:val="202124"/>
                <w:szCs w:val="24"/>
                <w:shd w:val="clear" w:color="auto" w:fill="FFFFFF"/>
              </w:rPr>
              <w:t xml:space="preserve"> support and formal tutorials, in addition to networking opportunities through weekly cross-departmental AIM study meetings. There is also the opportunity for the candidate to network across the NIHR with monthly meetings across all the NIHR AIM funded PI’s</w:t>
            </w:r>
            <w:r w:rsidRPr="005E5400" w:rsidR="00A01AE1">
              <w:rPr>
                <w:rStyle w:val="normaltextrun"/>
                <w:rFonts w:asciiTheme="minorHAnsi" w:hAnsiTheme="minorHAnsi" w:cstheme="minorHAnsi"/>
                <w:color w:val="202124"/>
                <w:szCs w:val="24"/>
                <w:shd w:val="clear" w:color="auto" w:fill="FFFFFF"/>
              </w:rPr>
              <w:t xml:space="preserve">.  </w:t>
            </w:r>
          </w:p>
        </w:tc>
      </w:tr>
      <w:tr w:rsidRPr="00323521" w:rsidR="00E0356E" w:rsidTr="69AB76CB"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69AB76CB"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C1D44" w:rsidP="007C1D44" w:rsidRDefault="007C1D44" w14:paraId="6F47178F" w14:textId="77777777">
            <w:pPr>
              <w:spacing w:after="107" w:line="242" w:lineRule="auto"/>
              <w:ind w:right="3"/>
              <w:jc w:val="both"/>
              <w:rPr>
                <w:rFonts w:asciiTheme="minorHAnsi" w:hAnsiTheme="minorHAnsi" w:cstheme="minorHAnsi"/>
                <w:color w:val="000000" w:themeColor="text1"/>
                <w:szCs w:val="24"/>
                <w:u w:val="single"/>
              </w:rPr>
            </w:pPr>
            <w:r>
              <w:rPr>
                <w:rFonts w:asciiTheme="minorHAnsi" w:hAnsiTheme="minorHAnsi" w:cstheme="minorHAnsi"/>
                <w:color w:val="000000" w:themeColor="text1"/>
                <w:szCs w:val="24"/>
                <w:u w:val="single"/>
              </w:rPr>
              <w:t>BACKGROUND:</w:t>
            </w:r>
          </w:p>
          <w:p w:rsidR="007C1D44" w:rsidP="007C1D44" w:rsidRDefault="007C1D44" w14:paraId="155FB24D" w14:textId="77777777">
            <w:pPr>
              <w:spacing w:after="107" w:line="276" w:lineRule="auto"/>
              <w:ind w:right="3"/>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T</w:t>
            </w:r>
            <w:r>
              <w:rPr>
                <w:rFonts w:eastAsia="Calibri" w:asciiTheme="minorHAnsi" w:hAnsiTheme="minorHAnsi" w:cstheme="minorHAnsi"/>
                <w:b w:val="0"/>
                <w:bCs w:val="0"/>
                <w:color w:val="000000" w:themeColor="text1"/>
                <w:szCs w:val="24"/>
              </w:rPr>
              <w:t xml:space="preserve">his PhD will be embedded within research funded by the </w:t>
            </w:r>
            <w:r>
              <w:rPr>
                <w:rFonts w:eastAsia="Calibri" w:asciiTheme="minorHAnsi" w:hAnsiTheme="minorHAnsi" w:cstheme="minorHAnsi"/>
                <w:color w:val="000000" w:themeColor="text1"/>
                <w:szCs w:val="24"/>
              </w:rPr>
              <w:t xml:space="preserve">NIHR Artificial Intelligence (AI) </w:t>
            </w:r>
            <w:proofErr w:type="gramStart"/>
            <w:r>
              <w:rPr>
                <w:rFonts w:eastAsia="Calibri" w:asciiTheme="minorHAnsi" w:hAnsiTheme="minorHAnsi" w:cstheme="minorHAnsi"/>
                <w:color w:val="000000" w:themeColor="text1"/>
                <w:szCs w:val="24"/>
              </w:rPr>
              <w:t>programme</w:t>
            </w:r>
            <w:r>
              <w:rPr>
                <w:rFonts w:eastAsia="Calibri" w:asciiTheme="minorHAnsi" w:hAnsiTheme="minorHAnsi" w:cstheme="minorHAnsi"/>
                <w:b w:val="0"/>
                <w:bCs w:val="0"/>
                <w:color w:val="000000" w:themeColor="text1"/>
                <w:szCs w:val="24"/>
              </w:rPr>
              <w:t xml:space="preserve"> which</w:t>
            </w:r>
            <w:proofErr w:type="gramEnd"/>
            <w:r>
              <w:rPr>
                <w:rFonts w:eastAsia="Calibri" w:asciiTheme="minorHAnsi" w:hAnsiTheme="minorHAnsi" w:cstheme="minorHAnsi"/>
                <w:b w:val="0"/>
                <w:bCs w:val="0"/>
                <w:color w:val="000000" w:themeColor="text1"/>
                <w:szCs w:val="24"/>
              </w:rPr>
              <w:t xml:space="preserve"> utilises </w:t>
            </w:r>
            <w:r>
              <w:rPr>
                <w:rFonts w:eastAsia="Calibri" w:asciiTheme="minorHAnsi" w:hAnsiTheme="minorHAnsi" w:cstheme="minorHAnsi"/>
                <w:color w:val="000000" w:themeColor="text1"/>
                <w:szCs w:val="24"/>
              </w:rPr>
              <w:t>AI</w:t>
            </w:r>
            <w:r>
              <w:rPr>
                <w:rFonts w:eastAsia="Calibri" w:asciiTheme="minorHAnsi" w:hAnsiTheme="minorHAnsi" w:cstheme="minorHAnsi"/>
                <w:b w:val="0"/>
                <w:bCs w:val="0"/>
                <w:color w:val="000000" w:themeColor="text1"/>
                <w:szCs w:val="24"/>
              </w:rPr>
              <w:t xml:space="preserve"> and </w:t>
            </w:r>
            <w:r>
              <w:rPr>
                <w:rFonts w:eastAsia="Calibri" w:asciiTheme="minorHAnsi" w:hAnsiTheme="minorHAnsi" w:cstheme="minorHAnsi"/>
                <w:color w:val="000000" w:themeColor="text1"/>
                <w:szCs w:val="24"/>
              </w:rPr>
              <w:t>Big Data</w:t>
            </w:r>
            <w:r>
              <w:rPr>
                <w:rFonts w:eastAsia="Calibri" w:asciiTheme="minorHAnsi" w:hAnsiTheme="minorHAnsi" w:cstheme="minorHAnsi"/>
                <w:b w:val="0"/>
                <w:bCs w:val="0"/>
                <w:color w:val="000000" w:themeColor="text1"/>
                <w:szCs w:val="24"/>
              </w:rPr>
              <w:t xml:space="preserve"> to manage </w:t>
            </w:r>
            <w:r>
              <w:rPr>
                <w:rFonts w:eastAsia="Calibri" w:asciiTheme="minorHAnsi" w:hAnsiTheme="minorHAnsi" w:cstheme="minorHAnsi"/>
                <w:color w:val="000000" w:themeColor="text1"/>
                <w:szCs w:val="24"/>
              </w:rPr>
              <w:t>m</w:t>
            </w:r>
            <w:r>
              <w:rPr>
                <w:rFonts w:asciiTheme="minorHAnsi" w:hAnsiTheme="minorHAnsi" w:cstheme="minorHAnsi"/>
                <w:color w:val="000000" w:themeColor="text1"/>
                <w:szCs w:val="24"/>
              </w:rPr>
              <w:t>ultiple long-term conditions</w:t>
            </w:r>
            <w:r>
              <w:rPr>
                <w:rFonts w:asciiTheme="minorHAnsi" w:hAnsiTheme="minorHAnsi" w:cstheme="minorHAnsi"/>
                <w:b w:val="0"/>
                <w:bCs w:val="0"/>
                <w:color w:val="000000" w:themeColor="text1"/>
                <w:szCs w:val="24"/>
              </w:rPr>
              <w:t xml:space="preserve"> (MLTC-M). </w:t>
            </w:r>
          </w:p>
          <w:p w:rsidR="007C1D44" w:rsidP="007C1D44" w:rsidRDefault="007C1D44" w14:paraId="1347F670" w14:textId="77777777">
            <w:pPr>
              <w:spacing w:after="107" w:line="276" w:lineRule="auto"/>
              <w:ind w:right="3"/>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MLTC-M are increasingly prevalent and associated with high rates of morbidity, mortality and healthcare expenditure. Strategies to tackle this have primarily focused on addressing biological aspects of disease but MLTC-M are the result of and associated with additional </w:t>
            </w:r>
            <w:proofErr w:type="gramStart"/>
            <w:r>
              <w:rPr>
                <w:rFonts w:asciiTheme="minorHAnsi" w:hAnsiTheme="minorHAnsi" w:cstheme="minorHAnsi"/>
                <w:b w:val="0"/>
                <w:bCs w:val="0"/>
                <w:color w:val="000000" w:themeColor="text1"/>
                <w:szCs w:val="24"/>
              </w:rPr>
              <w:t>psycho-social</w:t>
            </w:r>
            <w:proofErr w:type="gramEnd"/>
            <w:r>
              <w:rPr>
                <w:rFonts w:asciiTheme="minorHAnsi" w:hAnsiTheme="minorHAnsi" w:cstheme="minorHAnsi"/>
                <w:b w:val="0"/>
                <w:bCs w:val="0"/>
                <w:color w:val="000000" w:themeColor="text1"/>
                <w:szCs w:val="24"/>
              </w:rPr>
              <w:t xml:space="preserve">, economic and environmental barriers. A shift towards more personalised, holistic and integrated care could be an effective approach. This </w:t>
            </w:r>
            <w:proofErr w:type="gramStart"/>
            <w:r>
              <w:rPr>
                <w:rFonts w:asciiTheme="minorHAnsi" w:hAnsiTheme="minorHAnsi" w:cstheme="minorHAnsi"/>
                <w:b w:val="0"/>
                <w:bCs w:val="0"/>
                <w:color w:val="000000" w:themeColor="text1"/>
                <w:szCs w:val="24"/>
              </w:rPr>
              <w:t>could be achieved</w:t>
            </w:r>
            <w:proofErr w:type="gramEnd"/>
            <w:r>
              <w:rPr>
                <w:rFonts w:asciiTheme="minorHAnsi" w:hAnsiTheme="minorHAnsi" w:cstheme="minorHAnsi"/>
                <w:b w:val="0"/>
                <w:bCs w:val="0"/>
                <w:color w:val="000000" w:themeColor="text1"/>
                <w:szCs w:val="24"/>
              </w:rPr>
              <w:t xml:space="preserve"> by clustering heterogenous populations by health </w:t>
            </w:r>
            <w:r>
              <w:rPr>
                <w:rFonts w:asciiTheme="minorHAnsi" w:hAnsiTheme="minorHAnsi" w:cstheme="minorHAnsi"/>
                <w:b w:val="0"/>
                <w:bCs w:val="0"/>
                <w:i/>
                <w:iCs/>
                <w:color w:val="000000" w:themeColor="text1"/>
                <w:szCs w:val="24"/>
              </w:rPr>
              <w:t>and</w:t>
            </w:r>
            <w:r>
              <w:rPr>
                <w:rFonts w:asciiTheme="minorHAnsi" w:hAnsiTheme="minorHAnsi" w:cstheme="minorHAnsi"/>
                <w:b w:val="0"/>
                <w:bCs w:val="0"/>
                <w:color w:val="000000" w:themeColor="text1"/>
                <w:szCs w:val="24"/>
              </w:rPr>
              <w:t xml:space="preserve"> social need, and then tailoring interventions to the needs of each homogenous cluster. Evidence is required on how to generate clusters based on health and social need and to quantify the impact of clusters on long-term health and costs.</w:t>
            </w:r>
          </w:p>
          <w:p w:rsidR="007C1D44" w:rsidP="007C1D44" w:rsidRDefault="007C1D44" w14:paraId="4AC5DE95" w14:textId="77777777">
            <w:pPr>
              <w:autoSpaceDE w:val="0"/>
              <w:autoSpaceDN w:val="0"/>
              <w:adjustRightInd w:val="0"/>
              <w:spacing w:line="276" w:lineRule="auto"/>
              <w:jc w:val="both"/>
              <w:rPr>
                <w:rFonts w:asciiTheme="minorHAnsi" w:hAnsiTheme="minorHAnsi" w:cstheme="minorHAnsi"/>
                <w:color w:val="000000" w:themeColor="text1"/>
                <w:szCs w:val="24"/>
                <w:u w:val="single"/>
              </w:rPr>
            </w:pPr>
            <w:r>
              <w:rPr>
                <w:rFonts w:asciiTheme="minorHAnsi" w:hAnsiTheme="minorHAnsi" w:cstheme="minorHAnsi"/>
                <w:color w:val="000000" w:themeColor="text1"/>
                <w:szCs w:val="24"/>
                <w:u w:val="single"/>
              </w:rPr>
              <w:t>AIM:</w:t>
            </w:r>
          </w:p>
          <w:p w:rsidR="007C1D44" w:rsidP="007C1D44" w:rsidRDefault="007C1D44" w14:paraId="23F8E74D" w14:textId="77777777">
            <w:pPr>
              <w:pStyle w:val="ListParagraph"/>
              <w:numPr>
                <w:ilvl w:val="0"/>
                <w:numId w:val="3"/>
              </w:numPr>
              <w:autoSpaceDE w:val="0"/>
              <w:autoSpaceDN w:val="0"/>
              <w:adjustRightInd w:val="0"/>
              <w:spacing w:line="276" w:lineRule="auto"/>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To develop and validate population clusters that consider health and social care determinants and subsequent health and social care need for people with MLTC-M using data-driven AI methods compared to expert-driven approaches</w:t>
            </w:r>
          </w:p>
          <w:p w:rsidR="007C1D44" w:rsidP="007C1D44" w:rsidRDefault="007C1D44" w14:paraId="1ECE4167" w14:textId="77777777">
            <w:pPr>
              <w:pStyle w:val="ListParagraph"/>
              <w:autoSpaceDE w:val="0"/>
              <w:autoSpaceDN w:val="0"/>
              <w:adjustRightInd w:val="0"/>
              <w:spacing w:line="276" w:lineRule="auto"/>
              <w:jc w:val="both"/>
              <w:rPr>
                <w:rFonts w:asciiTheme="minorHAnsi" w:hAnsiTheme="minorHAnsi" w:cstheme="minorHAnsi"/>
                <w:b w:val="0"/>
                <w:bCs w:val="0"/>
                <w:color w:val="000000" w:themeColor="text1"/>
                <w:szCs w:val="24"/>
              </w:rPr>
            </w:pPr>
          </w:p>
          <w:p w:rsidR="007C1D44" w:rsidP="007C1D44" w:rsidRDefault="007C1D44" w14:paraId="69AFCA62" w14:textId="77777777">
            <w:pPr>
              <w:pStyle w:val="ListParagraph"/>
              <w:numPr>
                <w:ilvl w:val="0"/>
                <w:numId w:val="3"/>
              </w:numPr>
              <w:autoSpaceDE w:val="0"/>
              <w:autoSpaceDN w:val="0"/>
              <w:adjustRightInd w:val="0"/>
              <w:spacing w:line="276" w:lineRule="auto"/>
              <w:jc w:val="both"/>
              <w:rPr>
                <w:rFonts w:asciiTheme="minorHAnsi" w:hAnsiTheme="minorHAnsi" w:cstheme="minorHAnsi"/>
                <w:color w:val="000000" w:themeColor="text1"/>
                <w:szCs w:val="24"/>
              </w:rPr>
            </w:pPr>
            <w:r>
              <w:rPr>
                <w:rFonts w:asciiTheme="minorHAnsi" w:hAnsiTheme="minorHAnsi" w:cstheme="minorHAnsi"/>
                <w:b w:val="0"/>
                <w:bCs w:val="0"/>
                <w:color w:val="000000" w:themeColor="text1"/>
                <w:szCs w:val="24"/>
              </w:rPr>
              <w:t>To evaluate cluster trajectories and quantify their association with health outcomes and costs</w:t>
            </w:r>
          </w:p>
          <w:p w:rsidR="007C1D44" w:rsidP="007C1D44" w:rsidRDefault="007C1D44" w14:paraId="17F3F3C3" w14:textId="77777777">
            <w:pPr>
              <w:autoSpaceDE w:val="0"/>
              <w:autoSpaceDN w:val="0"/>
              <w:adjustRightInd w:val="0"/>
              <w:jc w:val="both"/>
              <w:rPr>
                <w:rFonts w:asciiTheme="minorHAnsi" w:hAnsiTheme="minorHAnsi" w:cstheme="minorHAnsi"/>
                <w:b w:val="0"/>
                <w:bCs w:val="0"/>
                <w:color w:val="000000" w:themeColor="text1"/>
                <w:szCs w:val="24"/>
              </w:rPr>
            </w:pPr>
          </w:p>
          <w:p w:rsidR="007C1D44" w:rsidP="007C1D44" w:rsidRDefault="007C1D44" w14:paraId="04DB315F" w14:textId="77777777">
            <w:pPr>
              <w:autoSpaceDE w:val="0"/>
              <w:autoSpaceDN w:val="0"/>
              <w:adjustRightInd w:val="0"/>
              <w:jc w:val="both"/>
              <w:rPr>
                <w:rFonts w:asciiTheme="minorHAnsi" w:hAnsiTheme="minorHAnsi" w:cstheme="minorHAnsi"/>
                <w:b w:val="0"/>
                <w:bCs w:val="0"/>
                <w:color w:val="000000" w:themeColor="text1"/>
                <w:szCs w:val="24"/>
                <w:u w:val="single"/>
              </w:rPr>
            </w:pPr>
            <w:r>
              <w:rPr>
                <w:rFonts w:asciiTheme="minorHAnsi" w:hAnsiTheme="minorHAnsi" w:cstheme="minorHAnsi"/>
                <w:b w:val="0"/>
                <w:bCs w:val="0"/>
                <w:color w:val="000000" w:themeColor="text1"/>
                <w:szCs w:val="24"/>
                <w:u w:val="single"/>
              </w:rPr>
              <w:t xml:space="preserve">Methods: </w:t>
            </w:r>
          </w:p>
          <w:p w:rsidR="007C1D44" w:rsidP="007C1D44" w:rsidRDefault="007C1D44" w14:paraId="6801BF75" w14:textId="77777777">
            <w:pPr>
              <w:autoSpaceDE w:val="0"/>
              <w:autoSpaceDN w:val="0"/>
              <w:adjustRightInd w:val="0"/>
              <w:jc w:val="both"/>
              <w:rPr>
                <w:rFonts w:asciiTheme="minorHAnsi" w:hAnsiTheme="minorHAnsi" w:cstheme="minorHAnsi"/>
                <w:b w:val="0"/>
                <w:bCs w:val="0"/>
                <w:color w:val="000000" w:themeColor="text1"/>
                <w:szCs w:val="24"/>
              </w:rPr>
            </w:pPr>
          </w:p>
          <w:p w:rsidR="007C1D44" w:rsidP="007C1D44" w:rsidRDefault="007C1D44" w14:paraId="261AE351" w14:textId="77777777">
            <w:pPr>
              <w:autoSpaceDE w:val="0"/>
              <w:autoSpaceDN w:val="0"/>
              <w:adjustRightInd w:val="0"/>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We anticipate a mixed-methods PhD but this </w:t>
            </w:r>
            <w:proofErr w:type="gramStart"/>
            <w:r>
              <w:rPr>
                <w:rFonts w:asciiTheme="minorHAnsi" w:hAnsiTheme="minorHAnsi" w:cstheme="minorHAnsi"/>
                <w:b w:val="0"/>
                <w:bCs w:val="0"/>
                <w:color w:val="000000" w:themeColor="text1"/>
                <w:szCs w:val="24"/>
              </w:rPr>
              <w:t>will be tailored</w:t>
            </w:r>
            <w:proofErr w:type="gramEnd"/>
            <w:r>
              <w:rPr>
                <w:rFonts w:asciiTheme="minorHAnsi" w:hAnsiTheme="minorHAnsi" w:cstheme="minorHAnsi"/>
                <w:b w:val="0"/>
                <w:bCs w:val="0"/>
                <w:color w:val="000000" w:themeColor="text1"/>
                <w:szCs w:val="24"/>
              </w:rPr>
              <w:t xml:space="preserve"> to the candidate’s interest with a particular focus on developing the AI and epidemiology skills within primary care big data. The team are using a number of datasets (CPRD, SAIL, ELSA and local social care data). The candidate can access these for cohort analysis with generated MLT-C clusters and trajectories characterised, and associations quantified in relation to clinical outcomes (e.g. incidence mortality, additional long-term conditions, disease severity and ten-year health care costs), using appropriate regression modelling.</w:t>
            </w:r>
          </w:p>
          <w:p w:rsidR="007C1D44" w:rsidP="007C1D44" w:rsidRDefault="007C1D44" w14:paraId="708F5EE8" w14:textId="77777777">
            <w:pPr>
              <w:spacing w:after="107" w:line="242" w:lineRule="auto"/>
              <w:ind w:right="3"/>
              <w:jc w:val="both"/>
              <w:rPr>
                <w:rFonts w:eastAsia="Calibri" w:asciiTheme="minorHAnsi" w:hAnsiTheme="minorHAnsi" w:cstheme="minorHAnsi"/>
                <w:b w:val="0"/>
                <w:bCs w:val="0"/>
                <w:color w:val="000000" w:themeColor="text1"/>
                <w:szCs w:val="24"/>
              </w:rPr>
            </w:pPr>
          </w:p>
          <w:p w:rsidR="007C1D44" w:rsidP="007C1D44" w:rsidRDefault="007C1D44" w14:paraId="4738EB3C" w14:textId="77777777">
            <w:pPr>
              <w:spacing w:after="120"/>
              <w:jc w:val="both"/>
              <w:rPr>
                <w:rFonts w:asciiTheme="minorHAnsi" w:hAnsiTheme="minorHAnsi" w:cstheme="minorHAnsi"/>
                <w:b w:val="0"/>
                <w:bCs w:val="0"/>
                <w:color w:val="000000" w:themeColor="text1"/>
                <w:szCs w:val="24"/>
                <w:u w:val="single"/>
              </w:rPr>
            </w:pPr>
            <w:r>
              <w:rPr>
                <w:rFonts w:asciiTheme="minorHAnsi" w:hAnsiTheme="minorHAnsi" w:cstheme="minorHAnsi"/>
                <w:b w:val="0"/>
                <w:bCs w:val="0"/>
                <w:color w:val="000000" w:themeColor="text1"/>
                <w:szCs w:val="24"/>
                <w:u w:val="single"/>
              </w:rPr>
              <w:t>Potential impact:</w:t>
            </w:r>
          </w:p>
          <w:p w:rsidRPr="005E5400" w:rsidR="00274ACB" w:rsidP="005E5400" w:rsidRDefault="007C1D44" w14:paraId="4E8397B4" w14:textId="086D2A36">
            <w:pPr>
              <w:autoSpaceDE w:val="0"/>
              <w:autoSpaceDN w:val="0"/>
              <w:adjustRightInd w:val="0"/>
              <w:jc w:val="both"/>
              <w:rPr>
                <w:rFonts w:asciiTheme="minorHAnsi" w:hAnsiTheme="minorHAnsi" w:cstheme="minorHAnsi"/>
                <w:b w:val="0"/>
                <w:bCs w:val="0"/>
                <w:color w:val="000000" w:themeColor="text1"/>
                <w:szCs w:val="24"/>
              </w:rPr>
            </w:pPr>
            <w:r>
              <w:rPr>
                <w:rFonts w:asciiTheme="minorHAnsi" w:hAnsiTheme="minorHAnsi" w:cstheme="minorHAnsi"/>
                <w:b w:val="0"/>
                <w:bCs w:val="0"/>
                <w:color w:val="000000" w:themeColor="text1"/>
                <w:szCs w:val="24"/>
              </w:rPr>
              <w:t xml:space="preserve">The work from this research will examine the utility of AI methods in health and social care research, and explore the methodology used to provide signals on intervention development and recommendations on targeted individual-level service delivery for managing MLT-C. </w:t>
            </w:r>
          </w:p>
        </w:tc>
      </w:tr>
    </w:tbl>
    <w:p w:rsidR="00FF6AEA" w:rsidP="005E5400"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274ACB" w:rsidRDefault="002B0282" w14:paraId="5BB16FE4" w14:textId="428BE106">
            <w:pPr>
              <w:pStyle w:val="BodyText2"/>
              <w:tabs>
                <w:tab w:val="clear" w:pos="720"/>
              </w:tabs>
              <w:spacing w:after="120"/>
              <w:jc w:val="both"/>
              <w:rPr>
                <w:rFonts w:cs="Arial" w:asciiTheme="minorHAnsi" w:hAnsiTheme="minorHAnsi"/>
                <w:b/>
                <w:bCs w:val="0"/>
                <w:i/>
                <w:sz w:val="24"/>
                <w:szCs w:val="24"/>
              </w:rPr>
            </w:pPr>
            <w:r w:rsidRPr="00323521">
              <w:rPr>
                <w:rFonts w:cs="Arial" w:asciiTheme="minorHAnsi" w:hAnsiTheme="minorHAnsi"/>
                <w:i/>
                <w:sz w:val="24"/>
                <w:szCs w:val="24"/>
              </w:rPr>
              <w:t>Formal training:</w:t>
            </w:r>
          </w:p>
          <w:p w:rsidR="007C1D44" w:rsidP="007C1D44" w:rsidRDefault="007C1D44" w14:paraId="592A4580" w14:textId="77777777">
            <w:pPr>
              <w:pStyle w:val="BodyText2"/>
              <w:spacing w:after="120"/>
              <w:rPr>
                <w:rFonts w:cs="Arial" w:asciiTheme="minorHAnsi" w:hAnsiTheme="minorHAnsi"/>
                <w:sz w:val="24"/>
                <w:szCs w:val="24"/>
              </w:rPr>
            </w:pPr>
            <w:r>
              <w:rPr>
                <w:rFonts w:ascii="Calibri" w:hAnsi="Calibri" w:eastAsia="Calibri" w:cs="Calibri"/>
                <w:sz w:val="24"/>
              </w:rPr>
              <w:t xml:space="preserve">Bespoke training </w:t>
            </w:r>
            <w:proofErr w:type="gramStart"/>
            <w:r>
              <w:rPr>
                <w:rFonts w:ascii="Calibri" w:hAnsi="Calibri" w:eastAsia="Calibri" w:cs="Calibri"/>
                <w:sz w:val="24"/>
              </w:rPr>
              <w:t>will be provided</w:t>
            </w:r>
            <w:proofErr w:type="gramEnd"/>
            <w:r>
              <w:rPr>
                <w:rFonts w:ascii="Calibri" w:hAnsi="Calibri" w:eastAsia="Calibri" w:cs="Calibri"/>
                <w:sz w:val="24"/>
              </w:rPr>
              <w:t xml:space="preserve"> depending upon the learning needs and experience of the successful candidate. We anticipate specific training in statistics, big data processing/cleaning and epidemiology (using STATA to conduct descriptive analysis alongside Cox, Multivariable, Logistic modelling)</w:t>
            </w:r>
            <w:r>
              <w:rPr>
                <w:rFonts w:ascii="Calibri" w:hAnsi="Calibri" w:cs="Calibri"/>
                <w:sz w:val="24"/>
              </w:rPr>
              <w:t xml:space="preserve">. </w:t>
            </w:r>
            <w:r>
              <w:rPr>
                <w:rFonts w:cs="Arial" w:asciiTheme="minorHAnsi" w:hAnsiTheme="minorHAnsi"/>
                <w:sz w:val="24"/>
                <w:szCs w:val="24"/>
              </w:rPr>
              <w:t xml:space="preserve"> Training </w:t>
            </w:r>
            <w:proofErr w:type="gramStart"/>
            <w:r>
              <w:rPr>
                <w:rFonts w:cs="Arial" w:asciiTheme="minorHAnsi" w:hAnsiTheme="minorHAnsi"/>
                <w:sz w:val="24"/>
                <w:szCs w:val="24"/>
              </w:rPr>
              <w:t>will be directed</w:t>
            </w:r>
            <w:proofErr w:type="gramEnd"/>
            <w:r>
              <w:rPr>
                <w:rFonts w:cs="Arial" w:asciiTheme="minorHAnsi" w:hAnsiTheme="minorHAnsi"/>
                <w:sz w:val="24"/>
                <w:szCs w:val="24"/>
              </w:rPr>
              <w:t xml:space="preserve"> towards helping the candidate develop as an independent researcher, as well as towards the needs of the PhD project.</w:t>
            </w:r>
          </w:p>
          <w:p w:rsidRPr="007C1D44" w:rsidR="00E0356E" w:rsidP="007C1D44" w:rsidRDefault="007C1D44" w14:paraId="411E72CB" w14:textId="44958F16">
            <w:pPr>
              <w:pStyle w:val="BodyText2"/>
              <w:spacing w:after="120"/>
              <w:rPr>
                <w:rFonts w:cs="Arial" w:asciiTheme="minorHAnsi" w:hAnsiTheme="minorHAnsi"/>
                <w:bCs w:val="0"/>
                <w:sz w:val="24"/>
                <w:szCs w:val="24"/>
              </w:rPr>
            </w:pPr>
            <w:r>
              <w:rPr>
                <w:rFonts w:cs="Arial" w:asciiTheme="minorHAnsi" w:hAnsiTheme="minorHAnsi"/>
                <w:sz w:val="24"/>
                <w:szCs w:val="24"/>
              </w:rPr>
              <w:t xml:space="preserve">The formal taught postgraduate </w:t>
            </w:r>
            <w:proofErr w:type="gramStart"/>
            <w:r>
              <w:rPr>
                <w:rFonts w:cs="Arial" w:asciiTheme="minorHAnsi" w:hAnsiTheme="minorHAnsi"/>
                <w:sz w:val="24"/>
                <w:szCs w:val="24"/>
              </w:rPr>
              <w:t>research training</w:t>
            </w:r>
            <w:proofErr w:type="gramEnd"/>
            <w:r>
              <w:rPr>
                <w:rFonts w:cs="Arial" w:asciiTheme="minorHAnsi" w:hAnsiTheme="minorHAnsi"/>
                <w:sz w:val="24"/>
                <w:szCs w:val="24"/>
              </w:rPr>
              <w:t xml:space="preserve"> programme at the University of Southampton includes epidemiology, statistics, research governance and study design. In addition, transferable skills courses </w:t>
            </w:r>
            <w:proofErr w:type="gramStart"/>
            <w:r>
              <w:rPr>
                <w:rFonts w:cs="Arial" w:asciiTheme="minorHAnsi" w:hAnsiTheme="minorHAnsi"/>
                <w:sz w:val="24"/>
                <w:szCs w:val="24"/>
              </w:rPr>
              <w:t>are offered</w:t>
            </w:r>
            <w:proofErr w:type="gramEnd"/>
            <w:r>
              <w:rPr>
                <w:rFonts w:cs="Arial" w:asciiTheme="minorHAnsi" w:hAnsiTheme="minorHAnsi"/>
                <w:sz w:val="24"/>
                <w:szCs w:val="24"/>
              </w:rPr>
              <w:t xml:space="preserve"> including Good Clinical Practice, time management, leadership, grant writing, and presentation skills. The candidate on-line masterclasses on systematic reviews and meta-analysis, research governance, ethics, patient and public involvement and engagement, developed by leaders in the SPCR. The PhD will be awarded by the University of Southampton but as a key supervisor is based at the University of Oxford, we anticipate that the candidate will benefit from relevant training and expertise across both departments including </w:t>
            </w:r>
            <w:proofErr w:type="gramStart"/>
            <w:r>
              <w:rPr>
                <w:rFonts w:cs="Arial" w:asciiTheme="minorHAnsi" w:hAnsiTheme="minorHAnsi"/>
                <w:sz w:val="24"/>
                <w:szCs w:val="24"/>
              </w:rPr>
              <w:t>the  extensive</w:t>
            </w:r>
            <w:proofErr w:type="gramEnd"/>
            <w:r>
              <w:rPr>
                <w:rFonts w:cs="Arial" w:asciiTheme="minorHAnsi" w:hAnsiTheme="minorHAnsi"/>
                <w:sz w:val="24"/>
                <w:szCs w:val="24"/>
              </w:rPr>
              <w:t xml:space="preserve"> SPCR and </w:t>
            </w:r>
            <w:proofErr w:type="spellStart"/>
            <w:r>
              <w:rPr>
                <w:rFonts w:cs="Arial" w:asciiTheme="minorHAnsi" w:hAnsiTheme="minorHAnsi"/>
                <w:sz w:val="24"/>
                <w:szCs w:val="24"/>
              </w:rPr>
              <w:t>Wellcome</w:t>
            </w:r>
            <w:proofErr w:type="spellEnd"/>
            <w:r>
              <w:rPr>
                <w:rFonts w:cs="Arial" w:asciiTheme="minorHAnsi" w:hAnsiTheme="minorHAnsi"/>
                <w:sz w:val="24"/>
                <w:szCs w:val="24"/>
              </w:rPr>
              <w:t xml:space="preserve"> PhD training programme .</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7C1D44" w:rsidP="00EA7C68" w:rsidRDefault="00EA7C68" w14:paraId="076665EC" w14:textId="33149B6E">
            <w:pPr>
              <w:pStyle w:val="BodyText2"/>
              <w:tabs>
                <w:tab w:val="clear" w:pos="720"/>
              </w:tabs>
              <w:spacing w:after="120"/>
              <w:jc w:val="both"/>
              <w:rPr>
                <w:rFonts w:cs="Arial" w:asciiTheme="minorHAnsi" w:hAnsiTheme="minorHAnsi"/>
                <w:b/>
                <w:bCs w:val="0"/>
                <w:sz w:val="24"/>
                <w:szCs w:val="24"/>
              </w:rPr>
            </w:pPr>
            <w:r w:rsidRPr="00323521">
              <w:rPr>
                <w:rFonts w:cs="Arial" w:asciiTheme="minorHAnsi" w:hAnsiTheme="minorHAnsi"/>
                <w:i/>
                <w:sz w:val="24"/>
                <w:szCs w:val="24"/>
              </w:rPr>
              <w:t>Informal training:</w:t>
            </w:r>
          </w:p>
          <w:p w:rsidRPr="005E5400" w:rsidR="00EA7C68" w:rsidP="002B0282" w:rsidRDefault="007C1D44" w14:paraId="1A7365FA" w14:textId="5EF90BE4">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 xml:space="preserve">The candidate will join our fortnight study meetings and </w:t>
            </w:r>
            <w:proofErr w:type="gramStart"/>
            <w:r>
              <w:rPr>
                <w:rFonts w:cs="Arial" w:asciiTheme="minorHAnsi" w:hAnsiTheme="minorHAnsi"/>
                <w:sz w:val="24"/>
                <w:szCs w:val="24"/>
              </w:rPr>
              <w:t>be offered</w:t>
            </w:r>
            <w:proofErr w:type="gramEnd"/>
            <w:r>
              <w:rPr>
                <w:rFonts w:cs="Arial" w:asciiTheme="minorHAnsi" w:hAnsiTheme="minorHAnsi"/>
                <w:sz w:val="24"/>
                <w:szCs w:val="24"/>
              </w:rPr>
              <w:t xml:space="preserve"> regular tutorials from supervisors and the wider study team who provide leading national expertise in AI, big data, epidemiology, statistics and subject expertise in big data. The candidate will also have access to informal mentoring from senior members of the collaboration </w:t>
            </w:r>
            <w:proofErr w:type="gramStart"/>
            <w:r>
              <w:rPr>
                <w:rFonts w:cs="Arial" w:asciiTheme="minorHAnsi" w:hAnsiTheme="minorHAnsi"/>
                <w:sz w:val="24"/>
                <w:szCs w:val="24"/>
              </w:rPr>
              <w:t>at an annual training meeting, and to participate in doctoral exchange programmes</w:t>
            </w:r>
            <w:proofErr w:type="gramEnd"/>
            <w:r>
              <w:rPr>
                <w:rFonts w:cs="Arial" w:asciiTheme="minorHAnsi" w:hAnsiTheme="minorHAnsi"/>
                <w:sz w:val="24"/>
                <w:szCs w:val="24"/>
              </w:rPr>
              <w:t xml:space="preserve">.      </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Pr="007C1D44" w:rsidR="00EA7C68" w:rsidP="002B0282" w:rsidRDefault="007C1D44" w14:paraId="48977F4E" w14:textId="781ECD7A">
            <w:pPr>
              <w:pStyle w:val="BodyText2"/>
              <w:tabs>
                <w:tab w:val="clear" w:pos="720"/>
              </w:tabs>
              <w:spacing w:after="120"/>
              <w:jc w:val="both"/>
              <w:rPr>
                <w:rFonts w:cs="Arial" w:asciiTheme="minorHAnsi" w:hAnsiTheme="minorHAnsi"/>
                <w:iCs/>
                <w:sz w:val="24"/>
                <w:szCs w:val="24"/>
              </w:rPr>
            </w:pPr>
            <w:r>
              <w:rPr>
                <w:rFonts w:cs="Arial" w:asciiTheme="minorHAnsi" w:hAnsiTheme="minorHAnsi"/>
                <w:iCs/>
                <w:sz w:val="24"/>
                <w:szCs w:val="24"/>
              </w:rPr>
              <w:t xml:space="preserve">We have PPI collaborators on the study team who the candidate will work with; this has helped us to ensure that our research is addressing public need, and is feasible and acceptable to patients. </w:t>
            </w:r>
          </w:p>
        </w:tc>
      </w:tr>
    </w:tbl>
    <w:p w:rsidRPr="00323521" w:rsidR="00E0356E" w:rsidP="00AC7BAD"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8F7" w:rsidP="008A5DEB" w:rsidRDefault="007608F7" w14:paraId="7C8CAB0B" w14:textId="77777777">
      <w:pPr>
        <w:spacing w:after="0" w:line="240" w:lineRule="auto"/>
      </w:pPr>
      <w:r>
        <w:separator/>
      </w:r>
    </w:p>
  </w:endnote>
  <w:endnote w:type="continuationSeparator" w:id="0">
    <w:p w:rsidR="007608F7" w:rsidP="008A5DEB" w:rsidRDefault="007608F7" w14:paraId="56967D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8F7" w:rsidP="008A5DEB" w:rsidRDefault="007608F7" w14:paraId="20B4437F" w14:textId="77777777">
      <w:pPr>
        <w:spacing w:after="0" w:line="240" w:lineRule="auto"/>
      </w:pPr>
      <w:r>
        <w:separator/>
      </w:r>
    </w:p>
  </w:footnote>
  <w:footnote w:type="continuationSeparator" w:id="0">
    <w:p w:rsidR="007608F7" w:rsidP="008A5DEB" w:rsidRDefault="007608F7" w14:paraId="706C09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E70ED"/>
    <w:multiLevelType w:val="hybridMultilevel"/>
    <w:tmpl w:val="E72C1D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40508"/>
    <w:rsid w:val="00244693"/>
    <w:rsid w:val="00274ACB"/>
    <w:rsid w:val="002A1B47"/>
    <w:rsid w:val="002B0282"/>
    <w:rsid w:val="002F31FE"/>
    <w:rsid w:val="00323521"/>
    <w:rsid w:val="00336AB0"/>
    <w:rsid w:val="00362B4E"/>
    <w:rsid w:val="004E3BC1"/>
    <w:rsid w:val="00515545"/>
    <w:rsid w:val="00540F80"/>
    <w:rsid w:val="005E5400"/>
    <w:rsid w:val="00747A0E"/>
    <w:rsid w:val="007608F7"/>
    <w:rsid w:val="00787EF3"/>
    <w:rsid w:val="007C1D44"/>
    <w:rsid w:val="007E11EC"/>
    <w:rsid w:val="008410F0"/>
    <w:rsid w:val="008A5DEB"/>
    <w:rsid w:val="00956790"/>
    <w:rsid w:val="009B098C"/>
    <w:rsid w:val="009F24DA"/>
    <w:rsid w:val="00A01AE1"/>
    <w:rsid w:val="00A87625"/>
    <w:rsid w:val="00AC5D34"/>
    <w:rsid w:val="00AC7BAD"/>
    <w:rsid w:val="00B95A5B"/>
    <w:rsid w:val="00C258FF"/>
    <w:rsid w:val="00C61C47"/>
    <w:rsid w:val="00E0356E"/>
    <w:rsid w:val="00EA7C68"/>
    <w:rsid w:val="00EC6D60"/>
    <w:rsid w:val="00FA401F"/>
    <w:rsid w:val="00FF6AEA"/>
    <w:rsid w:val="54227DAF"/>
    <w:rsid w:val="69AB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normaltextrun" w:customStyle="1">
    <w:name w:val="normaltextrun"/>
    <w:basedOn w:val="DefaultParagraphFont"/>
    <w:rsid w:val="007C1D44"/>
  </w:style>
  <w:style w:type="character" w:styleId="eop" w:customStyle="1">
    <w:name w:val="eop"/>
    <w:basedOn w:val="DefaultParagraphFont"/>
    <w:rsid w:val="007C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66170">
      <w:bodyDiv w:val="1"/>
      <w:marLeft w:val="0"/>
      <w:marRight w:val="0"/>
      <w:marTop w:val="0"/>
      <w:marBottom w:val="0"/>
      <w:divBdr>
        <w:top w:val="none" w:sz="0" w:space="0" w:color="auto"/>
        <w:left w:val="none" w:sz="0" w:space="0" w:color="auto"/>
        <w:bottom w:val="none" w:sz="0" w:space="0" w:color="auto"/>
        <w:right w:val="none" w:sz="0" w:space="0" w:color="auto"/>
      </w:divBdr>
    </w:div>
    <w:div w:id="955134961">
      <w:bodyDiv w:val="1"/>
      <w:marLeft w:val="0"/>
      <w:marRight w:val="0"/>
      <w:marTop w:val="0"/>
      <w:marBottom w:val="0"/>
      <w:divBdr>
        <w:top w:val="none" w:sz="0" w:space="0" w:color="auto"/>
        <w:left w:val="none" w:sz="0" w:space="0" w:color="auto"/>
        <w:bottom w:val="none" w:sz="0" w:space="0" w:color="auto"/>
        <w:right w:val="none" w:sz="0" w:space="0" w:color="auto"/>
      </w:divBdr>
    </w:div>
    <w:div w:id="1258322750">
      <w:bodyDiv w:val="1"/>
      <w:marLeft w:val="0"/>
      <w:marRight w:val="0"/>
      <w:marTop w:val="0"/>
      <w:marBottom w:val="0"/>
      <w:divBdr>
        <w:top w:val="none" w:sz="0" w:space="0" w:color="auto"/>
        <w:left w:val="none" w:sz="0" w:space="0" w:color="auto"/>
        <w:bottom w:val="none" w:sz="0" w:space="0" w:color="auto"/>
        <w:right w:val="none" w:sz="0" w:space="0" w:color="auto"/>
      </w:divBdr>
    </w:div>
    <w:div w:id="1302077787">
      <w:bodyDiv w:val="1"/>
      <w:marLeft w:val="0"/>
      <w:marRight w:val="0"/>
      <w:marTop w:val="0"/>
      <w:marBottom w:val="0"/>
      <w:divBdr>
        <w:top w:val="none" w:sz="0" w:space="0" w:color="auto"/>
        <w:left w:val="none" w:sz="0" w:space="0" w:color="auto"/>
        <w:bottom w:val="none" w:sz="0" w:space="0" w:color="auto"/>
        <w:right w:val="none" w:sz="0" w:space="0" w:color="auto"/>
      </w:divBdr>
    </w:div>
    <w:div w:id="1612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563FE9"/>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4796D-1C5E-4234-8E3A-6DF0AEE4B650}">
  <ds:schemaRefs>
    <ds:schemaRef ds:uri="http://schemas.openxmlformats.org/officeDocument/2006/bibliography"/>
  </ds:schemaRefs>
</ds:datastoreItem>
</file>

<file path=customXml/itemProps2.xml><?xml version="1.0" encoding="utf-8"?>
<ds:datastoreItem xmlns:ds="http://schemas.openxmlformats.org/officeDocument/2006/customXml" ds:itemID="{2B61B854-5DBE-4F1A-A094-AA8D48C027EB}"/>
</file>

<file path=customXml/itemProps3.xml><?xml version="1.0" encoding="utf-8"?>
<ds:datastoreItem xmlns:ds="http://schemas.openxmlformats.org/officeDocument/2006/customXml" ds:itemID="{3224F257-DA66-4E1D-989B-77B4B0C297DD}"/>
</file>

<file path=customXml/itemProps4.xml><?xml version="1.0" encoding="utf-8"?>
<ds:datastoreItem xmlns:ds="http://schemas.openxmlformats.org/officeDocument/2006/customXml" ds:itemID="{EA8D7D84-EA58-4669-B986-28A0D77EAC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pra79</dc:creator>
  <lastModifiedBy>Esther Van Vliet</lastModifiedBy>
  <revision>4</revision>
  <dcterms:created xsi:type="dcterms:W3CDTF">2022-01-10T15:24:00.0000000Z</dcterms:created>
  <dcterms:modified xsi:type="dcterms:W3CDTF">2022-01-13T13:21:02.8534517Z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