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EAAD" w14:textId="539FA9BB" w:rsidR="00E361B0" w:rsidRDefault="00E361B0" w:rsidP="00E361B0">
      <w:pP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193E72"/>
          <w:sz w:val="28"/>
          <w:szCs w:val="28"/>
        </w:rPr>
        <w:t xml:space="preserve">SPCR </w:t>
      </w:r>
      <w:r w:rsidRPr="00236912">
        <w:rPr>
          <w:rFonts w:ascii="Arial" w:hAnsi="Arial" w:cs="Arial"/>
          <w:b/>
          <w:bCs/>
          <w:color w:val="193E72"/>
          <w:sz w:val="28"/>
          <w:szCs w:val="28"/>
        </w:rPr>
        <w:t xml:space="preserve">Engagement and Dissemination grant </w:t>
      </w:r>
      <w:r w:rsidRPr="00236912">
        <w:rPr>
          <w:rFonts w:ascii="Arial" w:hAnsi="Arial" w:cs="Arial"/>
          <w:b/>
          <w:bCs/>
          <w:color w:val="193E72"/>
          <w:sz w:val="28"/>
          <w:szCs w:val="28"/>
        </w:rPr>
        <w:br/>
      </w:r>
      <w:r w:rsidRPr="00236912">
        <w:rPr>
          <w:rFonts w:ascii="Arial" w:hAnsi="Arial" w:cs="Arial"/>
          <w:b/>
          <w:bCs/>
          <w:i/>
          <w:color w:val="193E72"/>
          <w:sz w:val="28"/>
          <w:szCs w:val="28"/>
        </w:rPr>
        <w:t>Linking with awareness campaigns</w:t>
      </w:r>
      <w:r w:rsidRPr="00781B14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EA5D4E"/>
          <w:sz w:val="28"/>
          <w:szCs w:val="28"/>
        </w:rPr>
        <w:t>guidance document</w:t>
      </w:r>
    </w:p>
    <w:p w14:paraId="0ABECE42" w14:textId="54FB734C" w:rsidR="00E361B0" w:rsidRPr="008E0261" w:rsidRDefault="00E361B0" w:rsidP="00E361B0">
      <w:pPr>
        <w:rPr>
          <w:b/>
          <w:color w:val="193E72"/>
          <w:sz w:val="28"/>
          <w:szCs w:val="28"/>
        </w:rPr>
      </w:pPr>
      <w:r>
        <w:rPr>
          <w:b/>
          <w:color w:val="193E72"/>
          <w:sz w:val="28"/>
          <w:szCs w:val="28"/>
        </w:rPr>
        <w:t>B</w:t>
      </w:r>
      <w:r w:rsidRPr="008E0261">
        <w:rPr>
          <w:b/>
          <w:color w:val="193E72"/>
          <w:sz w:val="28"/>
          <w:szCs w:val="28"/>
        </w:rPr>
        <w:t>ackground</w:t>
      </w:r>
    </w:p>
    <w:p w14:paraId="74D90BCB" w14:textId="4DA81D76" w:rsidR="006B0F1C" w:rsidRPr="003E124B" w:rsidRDefault="00C05D56" w:rsidP="00C05D56">
      <w:pPr>
        <w:rPr>
          <w:rFonts w:cstheme="minorHAnsi"/>
        </w:rPr>
      </w:pPr>
      <w:r w:rsidRPr="003E124B">
        <w:rPr>
          <w:rFonts w:cstheme="minorHAnsi"/>
        </w:rPr>
        <w:t xml:space="preserve">The </w:t>
      </w:r>
      <w:r w:rsidR="003A3283">
        <w:rPr>
          <w:rFonts w:cstheme="minorHAnsi"/>
        </w:rPr>
        <w:t xml:space="preserve">NIHR </w:t>
      </w:r>
      <w:r w:rsidRPr="003E124B">
        <w:rPr>
          <w:rFonts w:cstheme="minorHAnsi"/>
        </w:rPr>
        <w:t xml:space="preserve">School for Primary Care Research (SPCR) has a track record of funding high quality primary care research. </w:t>
      </w:r>
      <w:r w:rsidR="006B0F1C" w:rsidRPr="003E124B">
        <w:rPr>
          <w:rFonts w:cstheme="minorHAnsi"/>
        </w:rPr>
        <w:t xml:space="preserve">The SPCR is </w:t>
      </w:r>
      <w:r w:rsidR="002F20E9">
        <w:rPr>
          <w:rFonts w:cstheme="minorHAnsi"/>
        </w:rPr>
        <w:t>committed to</w:t>
      </w:r>
      <w:r w:rsidR="006B0F1C" w:rsidRPr="003E124B">
        <w:rPr>
          <w:rFonts w:cstheme="minorHAnsi"/>
        </w:rPr>
        <w:t xml:space="preserve"> increas</w:t>
      </w:r>
      <w:r w:rsidR="002F20E9">
        <w:rPr>
          <w:rFonts w:cstheme="minorHAnsi"/>
        </w:rPr>
        <w:t>ing</w:t>
      </w:r>
      <w:r w:rsidR="006B0F1C" w:rsidRPr="003E124B">
        <w:rPr>
          <w:rFonts w:cstheme="minorHAnsi"/>
        </w:rPr>
        <w:t xml:space="preserve"> engagement and dissemination </w:t>
      </w:r>
      <w:r w:rsidR="002F20E9">
        <w:rPr>
          <w:rFonts w:cstheme="minorHAnsi"/>
        </w:rPr>
        <w:t>of</w:t>
      </w:r>
      <w:r w:rsidR="002F20E9" w:rsidRPr="003E124B">
        <w:rPr>
          <w:rFonts w:cstheme="minorHAnsi"/>
        </w:rPr>
        <w:t xml:space="preserve"> </w:t>
      </w:r>
      <w:r w:rsidR="006B0F1C" w:rsidRPr="003E124B">
        <w:rPr>
          <w:rFonts w:cstheme="minorHAnsi"/>
        </w:rPr>
        <w:t xml:space="preserve">its funded research and raise awareness of primary care research. As such, the SPCR </w:t>
      </w:r>
      <w:r w:rsidR="002F20E9">
        <w:rPr>
          <w:rFonts w:cstheme="minorHAnsi"/>
        </w:rPr>
        <w:t>is launching</w:t>
      </w:r>
      <w:r w:rsidR="002F20E9" w:rsidRPr="003E124B">
        <w:rPr>
          <w:rFonts w:cstheme="minorHAnsi"/>
        </w:rPr>
        <w:t xml:space="preserve"> </w:t>
      </w:r>
      <w:r w:rsidR="006B0F1C" w:rsidRPr="003E124B">
        <w:rPr>
          <w:rFonts w:cstheme="minorHAnsi"/>
        </w:rPr>
        <w:t xml:space="preserve">a funding call for engagement </w:t>
      </w:r>
      <w:r w:rsidR="000B7297">
        <w:rPr>
          <w:rFonts w:cstheme="minorHAnsi"/>
        </w:rPr>
        <w:t>and dissemination activities with</w:t>
      </w:r>
      <w:r w:rsidR="006B0F1C" w:rsidRPr="003E124B">
        <w:rPr>
          <w:rFonts w:cstheme="minorHAnsi"/>
        </w:rPr>
        <w:t xml:space="preserve"> non-academic audiences </w:t>
      </w:r>
      <w:r w:rsidR="000B7297">
        <w:rPr>
          <w:rFonts w:cstheme="minorHAnsi"/>
        </w:rPr>
        <w:t>based on SPCR</w:t>
      </w:r>
      <w:r w:rsidR="006B0F1C" w:rsidRPr="003E124B">
        <w:rPr>
          <w:rFonts w:cstheme="minorHAnsi"/>
        </w:rPr>
        <w:t xml:space="preserve"> funded research. Examples of activities </w:t>
      </w:r>
      <w:r w:rsidR="00463F6D">
        <w:rPr>
          <w:rFonts w:cstheme="minorHAnsi"/>
        </w:rPr>
        <w:t>may</w:t>
      </w:r>
      <w:r w:rsidR="00463F6D" w:rsidRPr="003E124B">
        <w:rPr>
          <w:rFonts w:cstheme="minorHAnsi"/>
        </w:rPr>
        <w:t xml:space="preserve"> </w:t>
      </w:r>
      <w:r w:rsidR="006B0F1C" w:rsidRPr="003E124B">
        <w:rPr>
          <w:rFonts w:cstheme="minorHAnsi"/>
        </w:rPr>
        <w:t xml:space="preserve">be public talks, hands-on activities in a community setting, information stands in public spaces or workshops with (non-academic) professionals. Creativity in the types of activities </w:t>
      </w:r>
      <w:r w:rsidR="00463F6D">
        <w:rPr>
          <w:rFonts w:cstheme="minorHAnsi"/>
        </w:rPr>
        <w:t xml:space="preserve">proposed </w:t>
      </w:r>
      <w:r w:rsidR="006B0F1C" w:rsidRPr="003E124B">
        <w:rPr>
          <w:rFonts w:cstheme="minorHAnsi"/>
        </w:rPr>
        <w:t xml:space="preserve">is </w:t>
      </w:r>
      <w:r w:rsidR="006B0F1C" w:rsidRPr="003E124B">
        <w:rPr>
          <w:rFonts w:cstheme="minorHAnsi"/>
        </w:rPr>
        <w:t>warmly</w:t>
      </w:r>
      <w:r w:rsidR="006B0F1C" w:rsidRPr="003E124B">
        <w:rPr>
          <w:rFonts w:cstheme="minorHAnsi"/>
        </w:rPr>
        <w:t xml:space="preserve"> welcomed. </w:t>
      </w:r>
    </w:p>
    <w:p w14:paraId="5DAC055C" w14:textId="4AB7DE10" w:rsidR="00E361B0" w:rsidRPr="003E124B" w:rsidRDefault="003E124B" w:rsidP="00BE5B18">
      <w:pPr>
        <w:rPr>
          <w:rFonts w:cstheme="minorHAnsi"/>
        </w:rPr>
      </w:pPr>
      <w:r w:rsidRPr="003E124B">
        <w:rPr>
          <w:rFonts w:cstheme="minorHAnsi"/>
        </w:rPr>
        <w:t>The activity should be linked to an</w:t>
      </w:r>
      <w:r w:rsidRPr="003E124B">
        <w:rPr>
          <w:rFonts w:cstheme="minorHAnsi"/>
          <w:szCs w:val="24"/>
        </w:rPr>
        <w:t xml:space="preserve"> existing national or lo</w:t>
      </w:r>
      <w:bookmarkStart w:id="0" w:name="_GoBack"/>
      <w:bookmarkEnd w:id="0"/>
      <w:r w:rsidRPr="003E124B">
        <w:rPr>
          <w:rFonts w:cstheme="minorHAnsi"/>
          <w:szCs w:val="24"/>
        </w:rPr>
        <w:t xml:space="preserve">cal health awareness campaign. Examples </w:t>
      </w:r>
      <w:r w:rsidR="00463F6D">
        <w:rPr>
          <w:rFonts w:cstheme="minorHAnsi"/>
          <w:szCs w:val="24"/>
        </w:rPr>
        <w:t>of</w:t>
      </w:r>
      <w:r w:rsidRPr="003E124B">
        <w:rPr>
          <w:rFonts w:cstheme="minorHAnsi"/>
          <w:szCs w:val="24"/>
        </w:rPr>
        <w:t xml:space="preserve"> national campaigns can be found </w:t>
      </w:r>
      <w:hyperlink r:id="rId8" w:history="1">
        <w:r w:rsidRPr="003E124B">
          <w:rPr>
            <w:rStyle w:val="Hyperlink"/>
            <w:rFonts w:cstheme="minorHAnsi"/>
            <w:szCs w:val="24"/>
          </w:rPr>
          <w:t>here</w:t>
        </w:r>
      </w:hyperlink>
      <w:r w:rsidRPr="003E124B">
        <w:rPr>
          <w:rFonts w:cstheme="minorHAnsi"/>
          <w:szCs w:val="24"/>
        </w:rPr>
        <w:t xml:space="preserve"> and </w:t>
      </w:r>
      <w:hyperlink r:id="rId9" w:history="1">
        <w:r w:rsidRPr="003E124B">
          <w:rPr>
            <w:rStyle w:val="Hyperlink"/>
            <w:rFonts w:cstheme="minorHAnsi"/>
            <w:szCs w:val="24"/>
          </w:rPr>
          <w:t>here</w:t>
        </w:r>
      </w:hyperlink>
      <w:r w:rsidR="00463F6D">
        <w:rPr>
          <w:rStyle w:val="Hyperlink"/>
          <w:rFonts w:cstheme="minorHAnsi"/>
          <w:szCs w:val="24"/>
        </w:rPr>
        <w:t>.</w:t>
      </w:r>
      <w:r w:rsidR="00463F6D" w:rsidRPr="00E90022">
        <w:rPr>
          <w:rStyle w:val="Hyperlink"/>
          <w:rFonts w:cstheme="minorHAnsi"/>
          <w:color w:val="auto"/>
          <w:szCs w:val="24"/>
          <w:u w:val="none"/>
        </w:rPr>
        <w:t xml:space="preserve"> T</w:t>
      </w:r>
      <w:r w:rsidR="003A3283">
        <w:rPr>
          <w:rFonts w:cstheme="minorHAnsi"/>
          <w:szCs w:val="24"/>
        </w:rPr>
        <w:t>hese overviews</w:t>
      </w:r>
      <w:r w:rsidRPr="003E124B">
        <w:rPr>
          <w:rFonts w:cstheme="minorHAnsi"/>
          <w:szCs w:val="24"/>
        </w:rPr>
        <w:t xml:space="preserve"> are not exhaustive</w:t>
      </w:r>
      <w:r w:rsidR="00463F6D">
        <w:rPr>
          <w:rFonts w:cstheme="minorHAnsi"/>
          <w:szCs w:val="24"/>
        </w:rPr>
        <w:t xml:space="preserve"> and</w:t>
      </w:r>
      <w:r w:rsidRPr="003E124B">
        <w:rPr>
          <w:rFonts w:cstheme="minorHAnsi"/>
          <w:szCs w:val="24"/>
        </w:rPr>
        <w:t xml:space="preserve"> </w:t>
      </w:r>
      <w:r w:rsidR="00463F6D">
        <w:rPr>
          <w:rFonts w:cstheme="minorHAnsi"/>
          <w:szCs w:val="24"/>
        </w:rPr>
        <w:t>a</w:t>
      </w:r>
      <w:r w:rsidRPr="003E124B">
        <w:rPr>
          <w:rFonts w:cstheme="minorHAnsi"/>
          <w:szCs w:val="24"/>
        </w:rPr>
        <w:t xml:space="preserve">pplicants are welcome to find their own awareness campaign, as long as these are organised by a non-profit organisation. </w:t>
      </w:r>
    </w:p>
    <w:p w14:paraId="360C646D" w14:textId="4A7F88AB" w:rsidR="00E361B0" w:rsidRPr="008E0261" w:rsidRDefault="00E361B0" w:rsidP="00E361B0">
      <w:pPr>
        <w:rPr>
          <w:b/>
          <w:color w:val="193E72"/>
          <w:sz w:val="28"/>
        </w:rPr>
      </w:pPr>
      <w:r w:rsidRPr="008E0261">
        <w:rPr>
          <w:b/>
          <w:color w:val="193E72"/>
          <w:sz w:val="28"/>
        </w:rPr>
        <w:t>The funding call</w:t>
      </w:r>
    </w:p>
    <w:p w14:paraId="3FA56FE1" w14:textId="3977C02A" w:rsidR="003E124B" w:rsidRPr="003E124B" w:rsidRDefault="00C05D56" w:rsidP="00C05D56">
      <w:pPr>
        <w:rPr>
          <w:rFonts w:cstheme="minorHAnsi"/>
          <w:szCs w:val="24"/>
        </w:rPr>
      </w:pPr>
      <w:r w:rsidRPr="003E124B">
        <w:rPr>
          <w:rFonts w:cstheme="minorHAnsi"/>
          <w:szCs w:val="24"/>
        </w:rPr>
        <w:t xml:space="preserve">The SPCR </w:t>
      </w:r>
      <w:r w:rsidR="00463F6D">
        <w:rPr>
          <w:rFonts w:cstheme="minorHAnsi"/>
          <w:szCs w:val="24"/>
        </w:rPr>
        <w:t>is launching</w:t>
      </w:r>
      <w:r w:rsidR="00463F6D" w:rsidRPr="003E124B">
        <w:rPr>
          <w:rFonts w:cstheme="minorHAnsi"/>
          <w:szCs w:val="24"/>
        </w:rPr>
        <w:t xml:space="preserve"> </w:t>
      </w:r>
      <w:r w:rsidRPr="003E124B">
        <w:rPr>
          <w:rFonts w:cstheme="minorHAnsi"/>
          <w:szCs w:val="24"/>
        </w:rPr>
        <w:t xml:space="preserve">a </w:t>
      </w:r>
      <w:r w:rsidRPr="00443EDE">
        <w:rPr>
          <w:rFonts w:cstheme="minorHAnsi"/>
          <w:szCs w:val="24"/>
        </w:rPr>
        <w:t>funding call</w:t>
      </w:r>
      <w:r w:rsidRPr="003E124B">
        <w:rPr>
          <w:rFonts w:cstheme="minorHAnsi"/>
          <w:szCs w:val="24"/>
        </w:rPr>
        <w:t xml:space="preserve"> for small grants </w:t>
      </w:r>
      <w:r w:rsidR="003E124B">
        <w:rPr>
          <w:rFonts w:cstheme="minorHAnsi"/>
          <w:szCs w:val="24"/>
        </w:rPr>
        <w:t xml:space="preserve">of </w:t>
      </w:r>
      <w:r w:rsidRPr="003E124B">
        <w:rPr>
          <w:rFonts w:cstheme="minorHAnsi"/>
          <w:szCs w:val="24"/>
        </w:rPr>
        <w:t xml:space="preserve">up to £800 to hold engagement and/ or dissemination activities of SPCR funded research. </w:t>
      </w:r>
      <w:r w:rsidR="00E90022">
        <w:rPr>
          <w:rFonts w:cstheme="minorHAnsi"/>
        </w:rPr>
        <w:t>A proposed project can cover one or more activities.</w:t>
      </w:r>
      <w:r w:rsidR="00E90022">
        <w:rPr>
          <w:rFonts w:cstheme="minorHAnsi"/>
        </w:rPr>
        <w:t xml:space="preserve"> </w:t>
      </w:r>
      <w:r w:rsidR="003E124B" w:rsidRPr="003E124B">
        <w:rPr>
          <w:rFonts w:cstheme="minorHAnsi"/>
          <w:szCs w:val="24"/>
        </w:rPr>
        <w:t xml:space="preserve">The activity needs to focus on a non-academic audience. These can for example be patients, healthcare professionals, policy makers or </w:t>
      </w:r>
      <w:r w:rsidR="000B7297">
        <w:rPr>
          <w:rFonts w:cstheme="minorHAnsi"/>
          <w:szCs w:val="24"/>
        </w:rPr>
        <w:t xml:space="preserve">a specified group within </w:t>
      </w:r>
      <w:r w:rsidR="003E124B" w:rsidRPr="003E124B">
        <w:rPr>
          <w:rFonts w:cstheme="minorHAnsi"/>
          <w:szCs w:val="24"/>
        </w:rPr>
        <w:t xml:space="preserve">the general public. </w:t>
      </w:r>
      <w:r w:rsidR="003A3283" w:rsidRPr="003E124B">
        <w:rPr>
          <w:rFonts w:cstheme="minorHAnsi"/>
          <w:szCs w:val="24"/>
        </w:rPr>
        <w:t xml:space="preserve">Activities are expected to take place during existing national or local health awareness campaigns to benefit from the promotion of these campaigns and </w:t>
      </w:r>
      <w:r w:rsidR="00463F6D">
        <w:rPr>
          <w:rFonts w:cstheme="minorHAnsi"/>
          <w:szCs w:val="24"/>
        </w:rPr>
        <w:t xml:space="preserve">to </w:t>
      </w:r>
      <w:r w:rsidR="003A3283" w:rsidRPr="003E124B">
        <w:rPr>
          <w:rFonts w:cstheme="minorHAnsi"/>
        </w:rPr>
        <w:t xml:space="preserve">showcase the </w:t>
      </w:r>
      <w:r w:rsidR="00463F6D">
        <w:rPr>
          <w:rFonts w:cstheme="minorHAnsi"/>
        </w:rPr>
        <w:t>reach</w:t>
      </w:r>
      <w:r w:rsidR="00463F6D" w:rsidRPr="003E124B">
        <w:rPr>
          <w:rFonts w:cstheme="minorHAnsi"/>
        </w:rPr>
        <w:t xml:space="preserve"> </w:t>
      </w:r>
      <w:r w:rsidR="003A3283" w:rsidRPr="003E124B">
        <w:rPr>
          <w:rFonts w:cstheme="minorHAnsi"/>
        </w:rPr>
        <w:t>and relevance of primary care resea</w:t>
      </w:r>
      <w:r w:rsidR="003A3283">
        <w:rPr>
          <w:rFonts w:cstheme="minorHAnsi"/>
        </w:rPr>
        <w:t>r</w:t>
      </w:r>
      <w:r w:rsidR="003A3283" w:rsidRPr="003E124B">
        <w:rPr>
          <w:rFonts w:cstheme="minorHAnsi"/>
        </w:rPr>
        <w:t>ch.</w:t>
      </w:r>
      <w:r w:rsidRPr="003E124B">
        <w:rPr>
          <w:rFonts w:cstheme="minorHAnsi"/>
          <w:szCs w:val="24"/>
        </w:rPr>
        <w:t xml:space="preserve"> </w:t>
      </w:r>
    </w:p>
    <w:p w14:paraId="3309AE39" w14:textId="1FF58E4E" w:rsidR="00E361B0" w:rsidRDefault="003E124B" w:rsidP="00BE5B18">
      <w:pPr>
        <w:rPr>
          <w:rFonts w:eastAsia="Times New Roman" w:cstheme="minorHAnsi"/>
          <w:lang w:eastAsia="en-GB"/>
        </w:rPr>
      </w:pPr>
      <w:r w:rsidRPr="003E124B">
        <w:rPr>
          <w:rFonts w:eastAsia="Times New Roman" w:cstheme="minorHAnsi"/>
          <w:lang w:eastAsia="en-GB"/>
        </w:rPr>
        <w:t>Awardees are required to submit an evaluation report (using a template) and a blog on the project for the SPCR website. Further reporting m</w:t>
      </w:r>
      <w:r w:rsidRPr="003E124B">
        <w:rPr>
          <w:rFonts w:eastAsia="Times New Roman" w:cstheme="minorHAnsi"/>
          <w:lang w:eastAsia="en-GB"/>
        </w:rPr>
        <w:t>ight</w:t>
      </w:r>
      <w:r w:rsidRPr="003E124B">
        <w:rPr>
          <w:rFonts w:eastAsia="Times New Roman" w:cstheme="minorHAnsi"/>
          <w:lang w:eastAsia="en-GB"/>
        </w:rPr>
        <w:t xml:space="preserve"> be </w:t>
      </w:r>
      <w:r w:rsidRPr="003E124B">
        <w:rPr>
          <w:rFonts w:eastAsia="Times New Roman" w:cstheme="minorHAnsi"/>
          <w:lang w:eastAsia="en-GB"/>
        </w:rPr>
        <w:t xml:space="preserve">set </w:t>
      </w:r>
      <w:r w:rsidRPr="003E124B">
        <w:rPr>
          <w:rFonts w:eastAsia="Times New Roman" w:cstheme="minorHAnsi"/>
          <w:lang w:eastAsia="en-GB"/>
        </w:rPr>
        <w:t>as a funding condition by the review panel.</w:t>
      </w:r>
    </w:p>
    <w:p w14:paraId="117E0B4E" w14:textId="19AAF598" w:rsidR="00116821" w:rsidRDefault="00116821" w:rsidP="00116821">
      <w:pPr>
        <w:rPr>
          <w:rFonts w:cstheme="minorHAnsi"/>
          <w:b/>
          <w:sz w:val="24"/>
          <w:szCs w:val="24"/>
        </w:rPr>
      </w:pPr>
      <w:r w:rsidRPr="00116821">
        <w:rPr>
          <w:b/>
          <w:color w:val="193E72"/>
          <w:sz w:val="28"/>
        </w:rPr>
        <w:lastRenderedPageBreak/>
        <w:t>Eligibility</w:t>
      </w:r>
      <w:r>
        <w:rPr>
          <w:b/>
          <w:color w:val="193E72"/>
          <w:sz w:val="28"/>
        </w:rPr>
        <w:t xml:space="preserve"> criteria</w:t>
      </w:r>
    </w:p>
    <w:p w14:paraId="73490DC2" w14:textId="7D6B4D03" w:rsidR="00116821" w:rsidRDefault="00116821" w:rsidP="00116821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 project must highlight SPCR funded research</w:t>
      </w:r>
      <w:r w:rsidR="00C05D56">
        <w:rPr>
          <w:rFonts w:cstheme="minorHAnsi"/>
          <w:szCs w:val="24"/>
        </w:rPr>
        <w:t xml:space="preserve">. This research can be </w:t>
      </w:r>
      <w:r w:rsidR="00C05D56">
        <w:rPr>
          <w:rFonts w:cstheme="minorHAnsi"/>
        </w:rPr>
        <w:t>ongoing or derived from a grant finished in 2019.</w:t>
      </w:r>
    </w:p>
    <w:p w14:paraId="2B846D87" w14:textId="1BDC90A0" w:rsidR="00116821" w:rsidRPr="00CA0E8F" w:rsidRDefault="00116821" w:rsidP="00116821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CA0E8F">
        <w:rPr>
          <w:rFonts w:cstheme="minorHAnsi"/>
          <w:szCs w:val="24"/>
        </w:rPr>
        <w:t xml:space="preserve">The </w:t>
      </w:r>
      <w:r w:rsidR="00E90022">
        <w:rPr>
          <w:rFonts w:cstheme="minorHAnsi"/>
          <w:szCs w:val="24"/>
        </w:rPr>
        <w:t>activities</w:t>
      </w:r>
      <w:r w:rsidRPr="00CA0E8F">
        <w:rPr>
          <w:rFonts w:cstheme="minorHAnsi"/>
          <w:szCs w:val="24"/>
        </w:rPr>
        <w:t xml:space="preserve"> must b</w:t>
      </w:r>
      <w:r>
        <w:rPr>
          <w:rFonts w:cstheme="minorHAnsi"/>
          <w:szCs w:val="24"/>
        </w:rPr>
        <w:t xml:space="preserve">e linked to a national or local </w:t>
      </w:r>
      <w:r w:rsidRPr="00CA0E8F">
        <w:rPr>
          <w:rFonts w:cstheme="minorHAnsi"/>
          <w:szCs w:val="24"/>
        </w:rPr>
        <w:t>awareness campaign</w:t>
      </w:r>
      <w:r>
        <w:rPr>
          <w:rFonts w:cstheme="minorHAnsi"/>
          <w:szCs w:val="24"/>
        </w:rPr>
        <w:t>, led by a non-profit organisation</w:t>
      </w:r>
    </w:p>
    <w:p w14:paraId="2EC6A289" w14:textId="3FC0538B" w:rsidR="00C05D56" w:rsidRPr="00C05D56" w:rsidRDefault="00C05D56" w:rsidP="00116821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>
        <w:rPr>
          <w:rFonts w:cstheme="minorHAnsi"/>
        </w:rPr>
        <w:t xml:space="preserve">Applicants must be </w:t>
      </w:r>
      <w:r w:rsidR="00463F6D">
        <w:rPr>
          <w:rFonts w:cstheme="minorHAnsi"/>
        </w:rPr>
        <w:t xml:space="preserve">an </w:t>
      </w:r>
      <w:r>
        <w:rPr>
          <w:rFonts w:cstheme="minorHAnsi"/>
        </w:rPr>
        <w:t>affiliate</w:t>
      </w:r>
      <w:r w:rsidR="00E90022">
        <w:rPr>
          <w:rFonts w:cstheme="minorHAnsi"/>
        </w:rPr>
        <w:t xml:space="preserve"> </w:t>
      </w:r>
      <w:r w:rsidR="00463F6D">
        <w:rPr>
          <w:rFonts w:cstheme="minorHAnsi"/>
        </w:rPr>
        <w:t>of an</w:t>
      </w:r>
      <w:r>
        <w:rPr>
          <w:rFonts w:cstheme="minorHAnsi"/>
        </w:rPr>
        <w:t xml:space="preserve"> </w:t>
      </w:r>
      <w:r w:rsidRPr="00131479">
        <w:rPr>
          <w:rFonts w:cstheme="minorHAnsi"/>
        </w:rPr>
        <w:t>NIHR SPCR member department</w:t>
      </w:r>
      <w:r>
        <w:rPr>
          <w:rStyle w:val="FootnoteReference"/>
          <w:rFonts w:cstheme="minorHAnsi"/>
        </w:rPr>
        <w:footnoteReference w:id="1"/>
      </w:r>
      <w:r>
        <w:rPr>
          <w:rFonts w:cstheme="minorHAnsi"/>
        </w:rPr>
        <w:t xml:space="preserve">. </w:t>
      </w:r>
    </w:p>
    <w:p w14:paraId="01500131" w14:textId="5051DD0E" w:rsidR="00C05D56" w:rsidRPr="00C05D56" w:rsidRDefault="00C05D56" w:rsidP="00C05D56">
      <w:pPr>
        <w:pStyle w:val="ListParagraph"/>
        <w:numPr>
          <w:ilvl w:val="0"/>
          <w:numId w:val="1"/>
        </w:numPr>
        <w:rPr>
          <w:rFonts w:cstheme="minorHAnsi"/>
        </w:rPr>
      </w:pPr>
      <w:r w:rsidRPr="00C05D56">
        <w:rPr>
          <w:rFonts w:cstheme="minorHAnsi"/>
        </w:rPr>
        <w:t xml:space="preserve">The call is open </w:t>
      </w:r>
      <w:r w:rsidR="00463F6D">
        <w:rPr>
          <w:rFonts w:cstheme="minorHAnsi"/>
        </w:rPr>
        <w:t>to</w:t>
      </w:r>
      <w:r w:rsidRPr="00C05D56">
        <w:rPr>
          <w:rFonts w:cstheme="minorHAnsi"/>
        </w:rPr>
        <w:t xml:space="preserve"> researchers from all career stages, though junior researchers will need their supervisor’s approval.</w:t>
      </w:r>
    </w:p>
    <w:p w14:paraId="077AF087" w14:textId="77777777" w:rsidR="003A3283" w:rsidRDefault="003A3283" w:rsidP="00E361B0">
      <w:pPr>
        <w:rPr>
          <w:b/>
          <w:color w:val="193E72"/>
          <w:sz w:val="28"/>
        </w:rPr>
      </w:pPr>
    </w:p>
    <w:p w14:paraId="3B2D69E5" w14:textId="405B3E89" w:rsidR="00E361B0" w:rsidRDefault="00E361B0" w:rsidP="00E361B0">
      <w:pPr>
        <w:rPr>
          <w:b/>
          <w:color w:val="193E72"/>
          <w:sz w:val="28"/>
        </w:rPr>
      </w:pPr>
      <w:r w:rsidRPr="008E0261">
        <w:rPr>
          <w:b/>
          <w:color w:val="193E72"/>
          <w:sz w:val="28"/>
        </w:rPr>
        <w:t>How to apply</w:t>
      </w:r>
    </w:p>
    <w:p w14:paraId="6E05D6A1" w14:textId="2DBCE50A" w:rsidR="00116821" w:rsidRDefault="00C05D56" w:rsidP="00116821">
      <w:pPr>
        <w:rPr>
          <w:rFonts w:cstheme="minorHAnsi"/>
        </w:rPr>
      </w:pPr>
      <w:r>
        <w:rPr>
          <w:rFonts w:cstheme="minorHAnsi"/>
        </w:rPr>
        <w:t xml:space="preserve">To apply for a grant, an application template must be </w:t>
      </w:r>
      <w:r w:rsidR="000B7297">
        <w:rPr>
          <w:rFonts w:cstheme="minorHAnsi"/>
        </w:rPr>
        <w:t xml:space="preserve">used which can be </w:t>
      </w:r>
      <w:r>
        <w:rPr>
          <w:rFonts w:cstheme="minorHAnsi"/>
        </w:rPr>
        <w:t xml:space="preserve">downloaded from the </w:t>
      </w:r>
      <w:hyperlink r:id="rId10" w:history="1">
        <w:r w:rsidRPr="00443EDE">
          <w:rPr>
            <w:rStyle w:val="Hyperlink"/>
            <w:rFonts w:cstheme="minorHAnsi"/>
          </w:rPr>
          <w:t>SPCR website</w:t>
        </w:r>
      </w:hyperlink>
      <w:r>
        <w:rPr>
          <w:rFonts w:cstheme="minorHAnsi"/>
        </w:rPr>
        <w:t xml:space="preserve">. The application must be written in plain English and </w:t>
      </w:r>
      <w:r w:rsidR="00463F6D">
        <w:rPr>
          <w:rFonts w:cstheme="minorHAnsi"/>
        </w:rPr>
        <w:t>S</w:t>
      </w:r>
      <w:r>
        <w:rPr>
          <w:rFonts w:cstheme="minorHAnsi"/>
        </w:rPr>
        <w:t>ection B should not extend 3 pages</w:t>
      </w:r>
      <w:r w:rsidR="00463F6D">
        <w:rPr>
          <w:rFonts w:cstheme="minorHAnsi"/>
        </w:rPr>
        <w:t xml:space="preserve"> in length</w:t>
      </w:r>
      <w:r>
        <w:rPr>
          <w:rFonts w:cstheme="minorHAnsi"/>
        </w:rPr>
        <w:t xml:space="preserve">. </w:t>
      </w:r>
      <w:r w:rsidR="00116821">
        <w:rPr>
          <w:rFonts w:cstheme="minorHAnsi"/>
        </w:rPr>
        <w:t xml:space="preserve">Any </w:t>
      </w:r>
      <w:r w:rsidR="00E90022">
        <w:rPr>
          <w:rFonts w:cstheme="minorHAnsi"/>
        </w:rPr>
        <w:t>proposed projects</w:t>
      </w:r>
      <w:r w:rsidR="00116821">
        <w:rPr>
          <w:rFonts w:cstheme="minorHAnsi"/>
        </w:rPr>
        <w:t xml:space="preserve"> not using the template will not be considered.</w:t>
      </w:r>
      <w:r w:rsidR="00116821" w:rsidRPr="00131479">
        <w:rPr>
          <w:rFonts w:cstheme="minorHAnsi"/>
        </w:rPr>
        <w:t xml:space="preserve"> Complete application forms </w:t>
      </w:r>
      <w:r w:rsidR="00463F6D">
        <w:rPr>
          <w:rFonts w:cstheme="minorHAnsi"/>
        </w:rPr>
        <w:t>must</w:t>
      </w:r>
      <w:r w:rsidR="00116821">
        <w:rPr>
          <w:rFonts w:cstheme="minorHAnsi"/>
        </w:rPr>
        <w:t xml:space="preserve"> be submitted via email to the SPCR P</w:t>
      </w:r>
      <w:r w:rsidR="00116821" w:rsidRPr="00131479">
        <w:rPr>
          <w:rFonts w:cstheme="minorHAnsi"/>
        </w:rPr>
        <w:t xml:space="preserve">atient and </w:t>
      </w:r>
      <w:r w:rsidR="00116821">
        <w:rPr>
          <w:rFonts w:cstheme="minorHAnsi"/>
        </w:rPr>
        <w:t>Public Involvement and Engagement O</w:t>
      </w:r>
      <w:r w:rsidR="00116821" w:rsidRPr="00131479">
        <w:rPr>
          <w:rFonts w:cstheme="minorHAnsi"/>
        </w:rPr>
        <w:t>fficer</w:t>
      </w:r>
      <w:r w:rsidR="00116821">
        <w:rPr>
          <w:rFonts w:cstheme="minorHAnsi"/>
        </w:rPr>
        <w:t>, Esther van Vliet (</w:t>
      </w:r>
      <w:hyperlink r:id="rId11" w:history="1">
        <w:r w:rsidR="00116821" w:rsidRPr="001F6C88">
          <w:rPr>
            <w:rStyle w:val="Hyperlink"/>
            <w:rFonts w:cstheme="minorHAnsi"/>
          </w:rPr>
          <w:t>esther.vanvliet@phc.ox.ac.uk</w:t>
        </w:r>
      </w:hyperlink>
      <w:r w:rsidR="00116821">
        <w:rPr>
          <w:rFonts w:cstheme="minorHAnsi"/>
        </w:rPr>
        <w:t xml:space="preserve">) </w:t>
      </w:r>
      <w:r w:rsidR="00116821" w:rsidRPr="00131479">
        <w:rPr>
          <w:rFonts w:cstheme="minorHAnsi"/>
        </w:rPr>
        <w:t xml:space="preserve">by </w:t>
      </w:r>
      <w:r w:rsidR="00116821">
        <w:rPr>
          <w:rFonts w:cstheme="minorHAnsi"/>
          <w:b/>
        </w:rPr>
        <w:t>Monday 24 February</w:t>
      </w:r>
      <w:r w:rsidR="00116821" w:rsidRPr="00131479">
        <w:rPr>
          <w:rFonts w:cstheme="minorHAnsi"/>
          <w:b/>
        </w:rPr>
        <w:t xml:space="preserve"> 20</w:t>
      </w:r>
      <w:r w:rsidR="00116821">
        <w:rPr>
          <w:rFonts w:cstheme="minorHAnsi"/>
          <w:b/>
        </w:rPr>
        <w:t>20</w:t>
      </w:r>
    </w:p>
    <w:p w14:paraId="4E85D9AD" w14:textId="666CF460" w:rsidR="00E361B0" w:rsidRDefault="003A3283" w:rsidP="00E361B0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Review</w:t>
      </w:r>
      <w:r w:rsidR="00E361B0" w:rsidRPr="008334C9">
        <w:rPr>
          <w:b/>
          <w:color w:val="193E72"/>
          <w:sz w:val="28"/>
        </w:rPr>
        <w:t xml:space="preserve"> criteria</w:t>
      </w:r>
    </w:p>
    <w:p w14:paraId="5CA6573D" w14:textId="38C5FB6A" w:rsidR="006B0F1C" w:rsidRPr="003A3283" w:rsidRDefault="003A3283" w:rsidP="006B0F1C">
      <w:pPr>
        <w:rPr>
          <w:rFonts w:cstheme="minorHAnsi"/>
        </w:rPr>
      </w:pPr>
      <w:r w:rsidRPr="003A3283">
        <w:rPr>
          <w:rFonts w:cstheme="minorHAnsi"/>
        </w:rPr>
        <w:lastRenderedPageBreak/>
        <w:t xml:space="preserve">The review panel will consist of SPCR staff and a public contributor. </w:t>
      </w:r>
      <w:r w:rsidRPr="003A3283">
        <w:t>The</w:t>
      </w:r>
      <w:r>
        <w:t xml:space="preserve"> panel will use a template form to review all applications</w:t>
      </w:r>
      <w:r w:rsidR="00463F6D">
        <w:t xml:space="preserve"> using</w:t>
      </w:r>
      <w:r w:rsidR="00E90022">
        <w:t xml:space="preserve"> </w:t>
      </w:r>
      <w:r>
        <w:t xml:space="preserve">the following </w:t>
      </w:r>
      <w:r w:rsidR="00463F6D">
        <w:t xml:space="preserve">assessment </w:t>
      </w:r>
      <w:r>
        <w:t>crit</w:t>
      </w:r>
      <w:r w:rsidR="006B0F1C" w:rsidRPr="003A3283">
        <w:rPr>
          <w:rFonts w:cstheme="minorHAnsi"/>
        </w:rPr>
        <w:t>eria:</w:t>
      </w:r>
    </w:p>
    <w:p w14:paraId="2E0BCA39" w14:textId="2A1E379A" w:rsidR="006B0F1C" w:rsidRPr="003A3283" w:rsidRDefault="00075806" w:rsidP="006B0F1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</w:t>
      </w:r>
      <w:r w:rsidR="00F15981">
        <w:rPr>
          <w:rFonts w:cstheme="minorHAnsi"/>
        </w:rPr>
        <w:t>larity on t</w:t>
      </w:r>
      <w:r w:rsidR="003A3283" w:rsidRPr="003A3283">
        <w:rPr>
          <w:rFonts w:cstheme="minorHAnsi"/>
        </w:rPr>
        <w:t>he audience the applicant</w:t>
      </w:r>
      <w:r w:rsidR="006B0F1C" w:rsidRPr="003A3283">
        <w:rPr>
          <w:rFonts w:cstheme="minorHAnsi"/>
        </w:rPr>
        <w:t xml:space="preserve"> </w:t>
      </w:r>
      <w:r w:rsidR="00F15981">
        <w:rPr>
          <w:rFonts w:cstheme="minorHAnsi"/>
        </w:rPr>
        <w:t>would like</w:t>
      </w:r>
      <w:r w:rsidR="00F15981" w:rsidRPr="003A3283">
        <w:rPr>
          <w:rFonts w:cstheme="minorHAnsi"/>
        </w:rPr>
        <w:t xml:space="preserve"> </w:t>
      </w:r>
      <w:r w:rsidR="006B0F1C" w:rsidRPr="003A3283">
        <w:rPr>
          <w:rFonts w:cstheme="minorHAnsi"/>
        </w:rPr>
        <w:t>t</w:t>
      </w:r>
      <w:r w:rsidR="003A3283" w:rsidRPr="003A3283">
        <w:rPr>
          <w:rFonts w:cstheme="minorHAnsi"/>
        </w:rPr>
        <w:t xml:space="preserve">o </w:t>
      </w:r>
      <w:r w:rsidR="0015376C">
        <w:rPr>
          <w:rFonts w:cstheme="minorHAnsi"/>
        </w:rPr>
        <w:t>interact</w:t>
      </w:r>
      <w:r w:rsidR="003A3283" w:rsidRPr="003A3283">
        <w:rPr>
          <w:rFonts w:cstheme="minorHAnsi"/>
        </w:rPr>
        <w:t xml:space="preserve"> with and </w:t>
      </w:r>
      <w:r w:rsidR="00F15981">
        <w:rPr>
          <w:rFonts w:cstheme="minorHAnsi"/>
        </w:rPr>
        <w:t>how</w:t>
      </w:r>
      <w:r w:rsidR="003A3283" w:rsidRPr="003A3283">
        <w:rPr>
          <w:rFonts w:cstheme="minorHAnsi"/>
        </w:rPr>
        <w:t xml:space="preserve"> they</w:t>
      </w:r>
      <w:r w:rsidR="006B0F1C" w:rsidRPr="003A3283">
        <w:rPr>
          <w:rFonts w:cstheme="minorHAnsi"/>
        </w:rPr>
        <w:t xml:space="preserve"> will be reached</w:t>
      </w:r>
    </w:p>
    <w:p w14:paraId="046B9B9C" w14:textId="735E6351" w:rsidR="000B7297" w:rsidRDefault="00F15981" w:rsidP="006B0F1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Is the m</w:t>
      </w:r>
      <w:r w:rsidR="000B7297">
        <w:rPr>
          <w:rFonts w:cstheme="minorHAnsi"/>
        </w:rPr>
        <w:t>otivation for the project</w:t>
      </w:r>
      <w:r>
        <w:rPr>
          <w:rFonts w:cstheme="minorHAnsi"/>
        </w:rPr>
        <w:t xml:space="preserve"> clear</w:t>
      </w:r>
    </w:p>
    <w:p w14:paraId="1559ADF9" w14:textId="385707FD" w:rsidR="006B0F1C" w:rsidRPr="003A3283" w:rsidRDefault="006B0F1C" w:rsidP="006B0F1C">
      <w:pPr>
        <w:pStyle w:val="ListParagraph"/>
        <w:numPr>
          <w:ilvl w:val="0"/>
          <w:numId w:val="1"/>
        </w:numPr>
        <w:rPr>
          <w:rFonts w:cstheme="minorHAnsi"/>
        </w:rPr>
      </w:pPr>
      <w:r w:rsidRPr="003A3283">
        <w:rPr>
          <w:rFonts w:cstheme="minorHAnsi"/>
        </w:rPr>
        <w:t xml:space="preserve">How the </w:t>
      </w:r>
      <w:r w:rsidR="00F15981">
        <w:rPr>
          <w:rFonts w:cstheme="minorHAnsi"/>
        </w:rPr>
        <w:t xml:space="preserve">proposed </w:t>
      </w:r>
      <w:r w:rsidRPr="003A3283">
        <w:rPr>
          <w:rFonts w:cstheme="minorHAnsi"/>
        </w:rPr>
        <w:t>activity contribute to engagement with research outcomes</w:t>
      </w:r>
    </w:p>
    <w:p w14:paraId="5EB7948B" w14:textId="2595A117" w:rsidR="003A3283" w:rsidRPr="003A3283" w:rsidRDefault="0015376C" w:rsidP="003A328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Relatability</w:t>
      </w:r>
      <w:r w:rsidR="003A3283" w:rsidRPr="003A3283">
        <w:rPr>
          <w:rFonts w:cstheme="minorHAnsi"/>
        </w:rPr>
        <w:t xml:space="preserve"> the activity </w:t>
      </w:r>
      <w:r w:rsidR="00F15981">
        <w:rPr>
          <w:rFonts w:cstheme="minorHAnsi"/>
        </w:rPr>
        <w:t>relate</w:t>
      </w:r>
      <w:r>
        <w:rPr>
          <w:rFonts w:cstheme="minorHAnsi"/>
        </w:rPr>
        <w:t xml:space="preserve">s </w:t>
      </w:r>
      <w:r w:rsidR="003A3283" w:rsidRPr="003A3283">
        <w:rPr>
          <w:rFonts w:cstheme="minorHAnsi"/>
        </w:rPr>
        <w:t xml:space="preserve">to </w:t>
      </w:r>
      <w:r w:rsidR="00F15981">
        <w:rPr>
          <w:rFonts w:cstheme="minorHAnsi"/>
        </w:rPr>
        <w:t>an</w:t>
      </w:r>
      <w:r w:rsidR="003A3283" w:rsidRPr="003A3283">
        <w:rPr>
          <w:rFonts w:cstheme="minorHAnsi"/>
        </w:rPr>
        <w:t xml:space="preserve"> awareness campaign</w:t>
      </w:r>
    </w:p>
    <w:p w14:paraId="43CA7F39" w14:textId="07151B88" w:rsidR="003A3283" w:rsidRPr="003A3283" w:rsidRDefault="00F15981" w:rsidP="003A328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c</w:t>
      </w:r>
      <w:r w:rsidR="003A3283" w:rsidRPr="003A3283">
        <w:rPr>
          <w:rFonts w:cstheme="minorHAnsi"/>
        </w:rPr>
        <w:t>reativity of the activity</w:t>
      </w:r>
    </w:p>
    <w:p w14:paraId="2C73E4F4" w14:textId="78A3B82C" w:rsidR="006B0F1C" w:rsidRPr="003A3283" w:rsidRDefault="003A3283" w:rsidP="006B0F1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f</w:t>
      </w:r>
      <w:r w:rsidR="006B0F1C" w:rsidRPr="003A3283">
        <w:rPr>
          <w:rFonts w:cstheme="minorHAnsi"/>
        </w:rPr>
        <w:t xml:space="preserve">easibility of the activity being executed within budget and </w:t>
      </w:r>
      <w:r w:rsidR="00075806">
        <w:rPr>
          <w:rFonts w:cstheme="minorHAnsi"/>
        </w:rPr>
        <w:t xml:space="preserve">to the </w:t>
      </w:r>
      <w:r w:rsidR="006B0F1C" w:rsidRPr="003A3283">
        <w:rPr>
          <w:rFonts w:cstheme="minorHAnsi"/>
        </w:rPr>
        <w:t>proposed</w:t>
      </w:r>
      <w:r w:rsidR="00075806">
        <w:rPr>
          <w:rFonts w:cstheme="minorHAnsi"/>
        </w:rPr>
        <w:t xml:space="preserve"> </w:t>
      </w:r>
      <w:r w:rsidR="006B0F1C" w:rsidRPr="003A3283">
        <w:rPr>
          <w:rFonts w:cstheme="minorHAnsi"/>
        </w:rPr>
        <w:t>timeframe</w:t>
      </w:r>
    </w:p>
    <w:p w14:paraId="5FA8B9D3" w14:textId="287E28D8" w:rsidR="006B0F1C" w:rsidRPr="003A3283" w:rsidRDefault="006B0F1C" w:rsidP="006B0F1C">
      <w:pPr>
        <w:pStyle w:val="ListParagraph"/>
        <w:numPr>
          <w:ilvl w:val="0"/>
          <w:numId w:val="1"/>
        </w:numPr>
        <w:rPr>
          <w:rFonts w:cstheme="minorHAnsi"/>
        </w:rPr>
      </w:pPr>
      <w:r w:rsidRPr="003A3283">
        <w:rPr>
          <w:rFonts w:cstheme="minorHAnsi"/>
        </w:rPr>
        <w:t>V</w:t>
      </w:r>
      <w:r w:rsidRPr="003A3283">
        <w:rPr>
          <w:rFonts w:cstheme="minorHAnsi"/>
        </w:rPr>
        <w:t>alue for money</w:t>
      </w:r>
    </w:p>
    <w:p w14:paraId="6865D79C" w14:textId="6BDDB8FE" w:rsidR="003A3283" w:rsidRPr="003A3283" w:rsidRDefault="003A3283" w:rsidP="003A3283">
      <w:pPr>
        <w:pStyle w:val="ListParagraph"/>
        <w:numPr>
          <w:ilvl w:val="0"/>
          <w:numId w:val="1"/>
        </w:numPr>
        <w:rPr>
          <w:rFonts w:cstheme="minorHAnsi"/>
        </w:rPr>
      </w:pPr>
      <w:r w:rsidRPr="003A3283">
        <w:rPr>
          <w:rFonts w:cstheme="minorHAnsi"/>
        </w:rPr>
        <w:t>M</w:t>
      </w:r>
      <w:r w:rsidRPr="003A3283">
        <w:rPr>
          <w:rFonts w:cstheme="minorHAnsi"/>
        </w:rPr>
        <w:t>eet</w:t>
      </w:r>
      <w:r w:rsidR="0015376C">
        <w:rPr>
          <w:rFonts w:cstheme="minorHAnsi"/>
        </w:rPr>
        <w:t xml:space="preserve">ing </w:t>
      </w:r>
      <w:r w:rsidRPr="003A3283">
        <w:rPr>
          <w:rFonts w:cstheme="minorHAnsi"/>
        </w:rPr>
        <w:t>the eligibility criteria</w:t>
      </w:r>
    </w:p>
    <w:p w14:paraId="3D2F16A2" w14:textId="7CE7EA87" w:rsidR="00E361B0" w:rsidRPr="00116821" w:rsidRDefault="00E361B0" w:rsidP="00E361B0">
      <w:pPr>
        <w:rPr>
          <w:b/>
          <w:color w:val="193E72"/>
          <w:sz w:val="28"/>
        </w:rPr>
      </w:pPr>
      <w:r w:rsidRPr="008E0261">
        <w:rPr>
          <w:b/>
          <w:color w:val="193E72"/>
          <w:sz w:val="28"/>
        </w:rPr>
        <w:t>Deadline and timelines</w:t>
      </w:r>
    </w:p>
    <w:p w14:paraId="205A9989" w14:textId="66495B78" w:rsidR="00E361B0" w:rsidRPr="00CA0E8F" w:rsidRDefault="00E361B0" w:rsidP="00E361B0">
      <w:pPr>
        <w:rPr>
          <w:rFonts w:cstheme="minorHAnsi"/>
          <w:szCs w:val="24"/>
        </w:rPr>
      </w:pPr>
      <w:r>
        <w:rPr>
          <w:rFonts w:cstheme="minorHAnsi"/>
          <w:szCs w:val="24"/>
        </w:rPr>
        <w:t>Deadline</w:t>
      </w:r>
      <w:r w:rsidRPr="00CA0E8F">
        <w:rPr>
          <w:rFonts w:cstheme="minorHAnsi"/>
          <w:szCs w:val="24"/>
        </w:rPr>
        <w:t>:</w:t>
      </w:r>
      <w:r w:rsidRPr="00CA0E8F">
        <w:rPr>
          <w:rFonts w:cstheme="minorHAnsi"/>
          <w:szCs w:val="24"/>
        </w:rPr>
        <w:tab/>
      </w:r>
      <w:r w:rsidRPr="00CA0E8F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CA0E8F">
        <w:rPr>
          <w:rFonts w:cstheme="minorHAnsi"/>
          <w:szCs w:val="24"/>
        </w:rPr>
        <w:t>Monday 24 February</w:t>
      </w:r>
      <w:r>
        <w:rPr>
          <w:rFonts w:cstheme="minorHAnsi"/>
          <w:szCs w:val="24"/>
        </w:rPr>
        <w:t xml:space="preserve"> 2020</w:t>
      </w:r>
    </w:p>
    <w:p w14:paraId="03620254" w14:textId="1F6766DC" w:rsidR="00E361B0" w:rsidRDefault="00E361B0" w:rsidP="00E361B0">
      <w:pPr>
        <w:rPr>
          <w:rFonts w:cstheme="minorHAnsi"/>
          <w:szCs w:val="24"/>
        </w:rPr>
      </w:pPr>
      <w:r w:rsidRPr="00CA0E8F">
        <w:rPr>
          <w:rFonts w:cstheme="minorHAnsi"/>
          <w:szCs w:val="24"/>
        </w:rPr>
        <w:t>Outcome communicated:</w:t>
      </w:r>
      <w:r w:rsidRPr="00CA0E8F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CA0E8F">
        <w:rPr>
          <w:rFonts w:cstheme="minorHAnsi"/>
          <w:szCs w:val="24"/>
        </w:rPr>
        <w:t>w/c 16 March</w:t>
      </w:r>
      <w:r>
        <w:rPr>
          <w:rFonts w:cstheme="minorHAnsi"/>
          <w:szCs w:val="24"/>
        </w:rPr>
        <w:t xml:space="preserve"> 2020</w:t>
      </w:r>
    </w:p>
    <w:p w14:paraId="1A70C434" w14:textId="08DEF7BE" w:rsidR="00E361B0" w:rsidRPr="005A10F2" w:rsidRDefault="00E361B0" w:rsidP="00E361B0">
      <w:pPr>
        <w:spacing w:line="240" w:lineRule="auto"/>
      </w:pPr>
      <w:r w:rsidRPr="005A10F2">
        <w:t>Funded projects start:</w:t>
      </w:r>
      <w:r w:rsidRPr="005A10F2">
        <w:tab/>
      </w:r>
      <w:r w:rsidRPr="005A10F2">
        <w:tab/>
      </w:r>
      <w:r w:rsidRPr="005A10F2">
        <w:tab/>
      </w:r>
      <w:r>
        <w:tab/>
      </w:r>
      <w:r w:rsidRPr="005A10F2">
        <w:t xml:space="preserve">From 1 </w:t>
      </w:r>
      <w:r>
        <w:t>April 2020</w:t>
      </w:r>
    </w:p>
    <w:p w14:paraId="7323B450" w14:textId="530104E7" w:rsidR="00E361B0" w:rsidRPr="005A10F2" w:rsidRDefault="00E361B0" w:rsidP="00E361B0">
      <w:pPr>
        <w:spacing w:line="240" w:lineRule="auto"/>
      </w:pPr>
      <w:r w:rsidRPr="005A10F2">
        <w:t>Funded projects finish and report deadline:</w:t>
      </w:r>
      <w:r w:rsidRPr="005A10F2">
        <w:tab/>
        <w:t>1</w:t>
      </w:r>
      <w:r>
        <w:t>5</w:t>
      </w:r>
      <w:r w:rsidRPr="005A10F2">
        <w:t xml:space="preserve"> </w:t>
      </w:r>
      <w:r>
        <w:t>March 2021</w:t>
      </w:r>
    </w:p>
    <w:p w14:paraId="37F8FE2D" w14:textId="3BB59779" w:rsidR="00E361B0" w:rsidRDefault="00116821" w:rsidP="00E361B0">
      <w:pPr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E361B0" w:rsidRPr="00CA0E8F">
        <w:rPr>
          <w:rFonts w:cstheme="minorHAnsi"/>
          <w:szCs w:val="24"/>
        </w:rPr>
        <w:t xml:space="preserve">The evaluation report of the </w:t>
      </w:r>
      <w:r w:rsidR="00E361B0">
        <w:rPr>
          <w:rFonts w:cstheme="minorHAnsi"/>
          <w:szCs w:val="24"/>
        </w:rPr>
        <w:t>project</w:t>
      </w:r>
      <w:r w:rsidR="00E361B0" w:rsidRPr="00CA0E8F">
        <w:rPr>
          <w:rFonts w:cstheme="minorHAnsi"/>
          <w:szCs w:val="24"/>
        </w:rPr>
        <w:t xml:space="preserve"> must be submitted within one mo</w:t>
      </w:r>
      <w:r w:rsidR="00E361B0">
        <w:rPr>
          <w:rFonts w:cstheme="minorHAnsi"/>
          <w:szCs w:val="24"/>
        </w:rPr>
        <w:t xml:space="preserve">nth after the end date, latest by </w:t>
      </w:r>
      <w:r w:rsidR="00E361B0" w:rsidRPr="00CA0E8F">
        <w:rPr>
          <w:rFonts w:cstheme="minorHAnsi"/>
          <w:szCs w:val="24"/>
        </w:rPr>
        <w:t>1</w:t>
      </w:r>
      <w:r w:rsidR="00E361B0">
        <w:rPr>
          <w:rFonts w:cstheme="minorHAnsi"/>
          <w:szCs w:val="24"/>
        </w:rPr>
        <w:t>5</w:t>
      </w:r>
      <w:r w:rsidR="00E361B0" w:rsidRPr="00CA0E8F">
        <w:rPr>
          <w:rFonts w:cstheme="minorHAnsi"/>
          <w:szCs w:val="24"/>
        </w:rPr>
        <w:t xml:space="preserve"> March 2021.  </w:t>
      </w:r>
    </w:p>
    <w:p w14:paraId="089B865D" w14:textId="75235860" w:rsidR="00E361B0" w:rsidRPr="008E0261" w:rsidRDefault="00E361B0" w:rsidP="00E361B0">
      <w:pPr>
        <w:rPr>
          <w:b/>
          <w:color w:val="193E72"/>
          <w:sz w:val="28"/>
        </w:rPr>
      </w:pPr>
      <w:r>
        <w:rPr>
          <w:rFonts w:cstheme="minorHAnsi"/>
          <w:szCs w:val="24"/>
        </w:rPr>
        <w:t>N.B., this funding call will run again in May-June 2020. There might be small changes to the second run, based on learnings from this first call.</w:t>
      </w:r>
    </w:p>
    <w:p w14:paraId="4C2D75A2" w14:textId="77777777" w:rsidR="00E361B0" w:rsidRPr="008E0261" w:rsidRDefault="00E361B0" w:rsidP="00E361B0">
      <w:pPr>
        <w:rPr>
          <w:b/>
          <w:color w:val="193E72"/>
          <w:sz w:val="28"/>
        </w:rPr>
      </w:pPr>
      <w:r w:rsidRPr="008E0261">
        <w:rPr>
          <w:b/>
          <w:color w:val="193E72"/>
          <w:sz w:val="28"/>
        </w:rPr>
        <w:t>Contact details</w:t>
      </w:r>
    </w:p>
    <w:p w14:paraId="2E2BB7E3" w14:textId="77777777" w:rsidR="00116821" w:rsidRPr="000061BA" w:rsidRDefault="00116821" w:rsidP="00116821">
      <w:pPr>
        <w:rPr>
          <w:rFonts w:cstheme="minorHAnsi"/>
        </w:rPr>
      </w:pPr>
      <w:r>
        <w:lastRenderedPageBreak/>
        <w:t xml:space="preserve">If you require further information or have any questions; please contact the </w:t>
      </w:r>
      <w:r w:rsidRPr="004849B6">
        <w:rPr>
          <w:rFonts w:cstheme="minorHAnsi"/>
        </w:rPr>
        <w:t>SPCR Patient and Public Involvement and Engagement</w:t>
      </w:r>
      <w:r>
        <w:rPr>
          <w:rFonts w:cstheme="minorHAnsi"/>
        </w:rPr>
        <w:t xml:space="preserve"> </w:t>
      </w:r>
      <w:r w:rsidRPr="004849B6">
        <w:rPr>
          <w:rFonts w:cstheme="minorHAnsi"/>
        </w:rPr>
        <w:t xml:space="preserve">Officer, </w:t>
      </w:r>
      <w:r>
        <w:rPr>
          <w:rFonts w:cstheme="minorHAnsi"/>
        </w:rPr>
        <w:t xml:space="preserve">Esther van Vliet (01865 289298; </w:t>
      </w:r>
      <w:hyperlink r:id="rId12" w:history="1">
        <w:r w:rsidRPr="004849B6">
          <w:rPr>
            <w:rStyle w:val="Hyperlink"/>
            <w:rFonts w:cstheme="minorHAnsi"/>
          </w:rPr>
          <w:t>esther.vanvliet@phc.ox.ac.uk</w:t>
        </w:r>
      </w:hyperlink>
      <w:r w:rsidRPr="004849B6">
        <w:rPr>
          <w:rFonts w:cstheme="minorHAnsi"/>
        </w:rPr>
        <w:t>)</w:t>
      </w:r>
      <w:r>
        <w:rPr>
          <w:rFonts w:cstheme="minorHAnsi"/>
        </w:rPr>
        <w:t>.</w:t>
      </w:r>
    </w:p>
    <w:p w14:paraId="26AF76FA" w14:textId="34741376" w:rsidR="00E361B0" w:rsidRDefault="00E361B0" w:rsidP="00BE5B18">
      <w:pPr>
        <w:rPr>
          <w:rFonts w:cstheme="minorHAnsi"/>
          <w:b/>
          <w:color w:val="1F4E79" w:themeColor="accent1" w:themeShade="80"/>
          <w:sz w:val="32"/>
          <w:szCs w:val="32"/>
        </w:rPr>
      </w:pPr>
    </w:p>
    <w:p w14:paraId="34E0BFD4" w14:textId="77777777" w:rsidR="00CA0E8F" w:rsidRDefault="00CA0E8F">
      <w:pPr>
        <w:rPr>
          <w:rFonts w:cstheme="minorHAnsi"/>
          <w:sz w:val="24"/>
          <w:szCs w:val="24"/>
        </w:rPr>
      </w:pPr>
    </w:p>
    <w:p w14:paraId="081CF09A" w14:textId="77777777" w:rsidR="00CA0E8F" w:rsidRDefault="00CA0E8F">
      <w:pPr>
        <w:rPr>
          <w:rFonts w:cstheme="minorHAnsi"/>
          <w:sz w:val="24"/>
          <w:szCs w:val="24"/>
        </w:rPr>
      </w:pPr>
    </w:p>
    <w:sectPr w:rsidR="00CA0E8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4C1067" w16cid:durableId="200FB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8DEB" w14:textId="77777777" w:rsidR="006F40C9" w:rsidRDefault="006F40C9" w:rsidP="00731E90">
      <w:pPr>
        <w:spacing w:after="0" w:line="240" w:lineRule="auto"/>
      </w:pPr>
      <w:r>
        <w:separator/>
      </w:r>
    </w:p>
  </w:endnote>
  <w:endnote w:type="continuationSeparator" w:id="0">
    <w:p w14:paraId="5ACE4BFE" w14:textId="77777777" w:rsidR="006F40C9" w:rsidRDefault="006F40C9" w:rsidP="007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23CC" w14:textId="77777777" w:rsidR="006F40C9" w:rsidRDefault="006F40C9" w:rsidP="00731E90">
      <w:pPr>
        <w:spacing w:after="0" w:line="240" w:lineRule="auto"/>
      </w:pPr>
      <w:r>
        <w:separator/>
      </w:r>
    </w:p>
  </w:footnote>
  <w:footnote w:type="continuationSeparator" w:id="0">
    <w:p w14:paraId="2D590D1A" w14:textId="77777777" w:rsidR="006F40C9" w:rsidRDefault="006F40C9" w:rsidP="00731E90">
      <w:pPr>
        <w:spacing w:after="0" w:line="240" w:lineRule="auto"/>
      </w:pPr>
      <w:r>
        <w:continuationSeparator/>
      </w:r>
    </w:p>
  </w:footnote>
  <w:footnote w:id="1">
    <w:p w14:paraId="5CC28BF7" w14:textId="77777777" w:rsidR="00C05D56" w:rsidRPr="00F5267D" w:rsidRDefault="00C05D56" w:rsidP="00C05D56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CA0E8F">
        <w:rPr>
          <w:rStyle w:val="FootnoteReference"/>
          <w:rFonts w:asciiTheme="minorHAnsi" w:hAnsiTheme="minorHAnsi"/>
          <w:b w:val="0"/>
          <w:i/>
          <w:sz w:val="18"/>
          <w:szCs w:val="18"/>
        </w:rPr>
        <w:footnoteRef/>
      </w:r>
      <w:r w:rsidRPr="00CA0E8F">
        <w:rPr>
          <w:rFonts w:asciiTheme="minorHAnsi" w:hAnsiTheme="minorHAnsi"/>
          <w:b w:val="0"/>
          <w:i/>
          <w:sz w:val="18"/>
          <w:szCs w:val="18"/>
        </w:rPr>
        <w:t xml:space="preserve"> Centre for Academic Primary Care (University of Bristol); Primary Care Unit (University of Cambridge); School of Primary, Community and Social Care (Keele University); Centre for Primary Care (University of Manchester); Population Health Sciences Institute (Newcastle University); Division of Primary Care (University of Nottingham); Nuffield Department of Primary Care Health Sciences (University of Oxford); School of Primary Care, Population Sciences and Medical Education</w:t>
      </w:r>
      <w:r w:rsidRPr="00F5267D">
        <w:rPr>
          <w:rFonts w:asciiTheme="minorHAnsi" w:hAnsiTheme="minorHAnsi"/>
          <w:b w:val="0"/>
          <w:sz w:val="22"/>
          <w:szCs w:val="22"/>
        </w:rPr>
        <w:t xml:space="preserve"> </w:t>
      </w:r>
      <w:r w:rsidRPr="00CA0E8F">
        <w:rPr>
          <w:rFonts w:asciiTheme="minorHAnsi" w:hAnsiTheme="minorHAnsi"/>
          <w:b w:val="0"/>
          <w:i/>
          <w:sz w:val="18"/>
          <w:szCs w:val="18"/>
        </w:rPr>
        <w:t>(University of Southampton); Research Department of Primary Care and Population Health (University College London)</w:t>
      </w:r>
    </w:p>
    <w:p w14:paraId="2E80706D" w14:textId="77777777" w:rsidR="00C05D56" w:rsidRDefault="00C05D56" w:rsidP="00C05D5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189B" w14:textId="5152962B" w:rsidR="003A3283" w:rsidRDefault="003A3283">
    <w:pPr>
      <w:pStyle w:val="Header"/>
    </w:pPr>
    <w:r>
      <w:rPr>
        <w:noProof/>
        <w:lang w:eastAsia="en-GB"/>
      </w:rPr>
      <w:drawing>
        <wp:inline distT="0" distB="0" distL="0" distR="0" wp14:anchorId="6857C4E3" wp14:editId="0A292D6E">
          <wp:extent cx="2867025" cy="571500"/>
          <wp:effectExtent l="0" t="0" r="0" b="0"/>
          <wp:docPr id="2" name="Picture 2" descr="School for Primary Care Research_logo_outlined_CMYK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hool for Primary Care Research_logo_outlined_CMYK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57CC"/>
    <w:multiLevelType w:val="hybridMultilevel"/>
    <w:tmpl w:val="045A410E"/>
    <w:lvl w:ilvl="0" w:tplc="492C7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0F5D"/>
    <w:multiLevelType w:val="hybridMultilevel"/>
    <w:tmpl w:val="33A8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5C06"/>
    <w:multiLevelType w:val="hybridMultilevel"/>
    <w:tmpl w:val="D77C372E"/>
    <w:lvl w:ilvl="0" w:tplc="9FDE9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1DE3"/>
    <w:multiLevelType w:val="hybridMultilevel"/>
    <w:tmpl w:val="BE3CA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13E1D"/>
    <w:multiLevelType w:val="hybridMultilevel"/>
    <w:tmpl w:val="4B182B6C"/>
    <w:lvl w:ilvl="0" w:tplc="3732D61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18"/>
    <w:rsid w:val="00013F22"/>
    <w:rsid w:val="00034E0D"/>
    <w:rsid w:val="00075806"/>
    <w:rsid w:val="000B7297"/>
    <w:rsid w:val="000C21D3"/>
    <w:rsid w:val="00116821"/>
    <w:rsid w:val="0015376C"/>
    <w:rsid w:val="001A65DF"/>
    <w:rsid w:val="001B388A"/>
    <w:rsid w:val="001E6B61"/>
    <w:rsid w:val="002A4C79"/>
    <w:rsid w:val="002F20E9"/>
    <w:rsid w:val="003A3283"/>
    <w:rsid w:val="003D3B4C"/>
    <w:rsid w:val="003E124B"/>
    <w:rsid w:val="003F33BC"/>
    <w:rsid w:val="00443EDE"/>
    <w:rsid w:val="00463F6D"/>
    <w:rsid w:val="00482F90"/>
    <w:rsid w:val="004C0F26"/>
    <w:rsid w:val="004E57E7"/>
    <w:rsid w:val="004F686E"/>
    <w:rsid w:val="005B0407"/>
    <w:rsid w:val="005D422F"/>
    <w:rsid w:val="006319E8"/>
    <w:rsid w:val="006B0F1C"/>
    <w:rsid w:val="006E6820"/>
    <w:rsid w:val="006F40C9"/>
    <w:rsid w:val="007011C7"/>
    <w:rsid w:val="00731E90"/>
    <w:rsid w:val="007C3CF0"/>
    <w:rsid w:val="008046E3"/>
    <w:rsid w:val="008E0D0E"/>
    <w:rsid w:val="008F5118"/>
    <w:rsid w:val="00963F4F"/>
    <w:rsid w:val="009A4AA3"/>
    <w:rsid w:val="009C6305"/>
    <w:rsid w:val="009D11F3"/>
    <w:rsid w:val="00B2687E"/>
    <w:rsid w:val="00B333D1"/>
    <w:rsid w:val="00B70A01"/>
    <w:rsid w:val="00B83583"/>
    <w:rsid w:val="00B83793"/>
    <w:rsid w:val="00BE5B18"/>
    <w:rsid w:val="00C05D56"/>
    <w:rsid w:val="00C5386A"/>
    <w:rsid w:val="00C86399"/>
    <w:rsid w:val="00C8761C"/>
    <w:rsid w:val="00C954E8"/>
    <w:rsid w:val="00CA0E8F"/>
    <w:rsid w:val="00D000D7"/>
    <w:rsid w:val="00D73182"/>
    <w:rsid w:val="00DB7A9C"/>
    <w:rsid w:val="00DC7CDE"/>
    <w:rsid w:val="00E17CAE"/>
    <w:rsid w:val="00E2195A"/>
    <w:rsid w:val="00E361B0"/>
    <w:rsid w:val="00E4566A"/>
    <w:rsid w:val="00E50FDF"/>
    <w:rsid w:val="00E732B2"/>
    <w:rsid w:val="00E90022"/>
    <w:rsid w:val="00EF69C4"/>
    <w:rsid w:val="00F15981"/>
    <w:rsid w:val="00F42C6F"/>
    <w:rsid w:val="00F5267D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1F40"/>
  <w15:docId w15:val="{7B01DAE8-4ACE-438E-94E5-363F26E6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A9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42C6F"/>
    <w:rPr>
      <w:color w:val="808080"/>
    </w:rPr>
  </w:style>
  <w:style w:type="table" w:styleId="TableGrid">
    <w:name w:val="Table Grid"/>
    <w:basedOn w:val="TableNormal"/>
    <w:uiPriority w:val="39"/>
    <w:rsid w:val="00F4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1E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E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E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31E9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6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5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7E7"/>
  </w:style>
  <w:style w:type="paragraph" w:styleId="Footer">
    <w:name w:val="footer"/>
    <w:basedOn w:val="Normal"/>
    <w:link w:val="FooterChar"/>
    <w:uiPriority w:val="99"/>
    <w:unhideWhenUsed/>
    <w:rsid w:val="004E5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E7"/>
  </w:style>
  <w:style w:type="character" w:styleId="FollowedHyperlink">
    <w:name w:val="FollowedHyperlink"/>
    <w:basedOn w:val="DefaultParagraphFont"/>
    <w:uiPriority w:val="99"/>
    <w:semiHidden/>
    <w:unhideWhenUsed/>
    <w:rsid w:val="003E1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employers.org/retention-and-staff-experience/health-and-wellbeing/understanding-your-data/calendar-of-national-campaigns-2018" TargetMode="External"/><Relationship Id="rId13" Type="http://schemas.openxmlformats.org/officeDocument/2006/relationships/header" Target="header1.xml"/><Relationship Id="rId51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ther.vanvliet@phc.ox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her.vanvliet@phc.ox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nihr.ac.uk/PPI/spcr-involvement-and-engagement-funding-ca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warenessdays.com/awareness-days-calendar/category/health-awarenes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B375-3FC2-422F-BA61-9865E8D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2</cp:revision>
  <dcterms:created xsi:type="dcterms:W3CDTF">2020-01-15T11:23:00Z</dcterms:created>
  <dcterms:modified xsi:type="dcterms:W3CDTF">2020-01-15T11:23:00Z</dcterms:modified>
</cp:coreProperties>
</file>