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11"/>
        <w:tblW w:w="0" w:type="auto"/>
        <w:tblLook w:val="04A0" w:firstRow="1" w:lastRow="0" w:firstColumn="1" w:lastColumn="0" w:noHBand="0" w:noVBand="1"/>
      </w:tblPr>
      <w:tblGrid>
        <w:gridCol w:w="10343"/>
      </w:tblGrid>
      <w:tr w:rsidR="00FF6AEA" w:rsidRPr="00E20404" w14:paraId="40F6156D" w14:textId="77777777" w:rsidTr="002A1B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3" w:type="dxa"/>
          </w:tcPr>
          <w:p w14:paraId="3D6AB031" w14:textId="778576E3" w:rsidR="00FF6AEA" w:rsidRPr="00E20404" w:rsidRDefault="00FF6AEA">
            <w:pPr>
              <w:rPr>
                <w:rFonts w:asciiTheme="minorHAnsi" w:hAnsiTheme="minorHAnsi" w:cstheme="minorHAnsi"/>
                <w:color w:val="2E74B5" w:themeColor="accent1" w:themeShade="BF"/>
                <w:sz w:val="28"/>
                <w:szCs w:val="24"/>
              </w:rPr>
            </w:pPr>
            <w:r w:rsidRPr="00E20404">
              <w:rPr>
                <w:rFonts w:asciiTheme="minorHAnsi" w:hAnsiTheme="minorHAnsi" w:cstheme="minorHAnsi"/>
                <w:color w:val="2E74B5" w:themeColor="accent1" w:themeShade="BF"/>
                <w:sz w:val="28"/>
                <w:szCs w:val="24"/>
              </w:rPr>
              <w:t>Host department:</w:t>
            </w:r>
            <w:sdt>
              <w:sdtPr>
                <w:rPr>
                  <w:rFonts w:asciiTheme="minorHAnsi" w:hAnsiTheme="minorHAnsi" w:cstheme="minorHAnsi"/>
                  <w:color w:val="2E74B5" w:themeColor="accent1" w:themeShade="BF"/>
                  <w:sz w:val="28"/>
                  <w:szCs w:val="24"/>
                </w:rPr>
                <w:id w:val="276916200"/>
                <w:placeholder>
                  <w:docPart w:val="A8FA2247D3034A4B95677780CBA96BF9"/>
                </w:placeholder>
                <w:comboBox>
                  <w:listItem w:value="Choose an item."/>
                  <w:listItem w:displayText="Bristol" w:value="Bristol"/>
                  <w:listItem w:displayText="Cambridge" w:value="Cambridge"/>
                  <w:listItem w:displayText="Exeter" w:value="Exeter"/>
                  <w:listItem w:displayText="Keele" w:value="Keele"/>
                  <w:listItem w:displayText="Manchester" w:value="Manchester"/>
                  <w:listItem w:displayText="Nottingham" w:value="Nottingham"/>
                  <w:listItem w:displayText="Oxford" w:value="Oxford"/>
                  <w:listItem w:displayText="QMUL" w:value="QMUL"/>
                  <w:listItem w:displayText="Southampton" w:value="Southampton"/>
                  <w:listItem w:displayText="UCL" w:value="UCL"/>
                </w:comboBox>
              </w:sdtPr>
              <w:sdtContent>
                <w:r w:rsidR="00E20404" w:rsidRPr="00E20404">
                  <w:rPr>
                    <w:rFonts w:asciiTheme="minorHAnsi" w:hAnsiTheme="minorHAnsi" w:cstheme="minorHAnsi"/>
                    <w:color w:val="2E74B5" w:themeColor="accent1" w:themeShade="BF"/>
                    <w:sz w:val="28"/>
                    <w:szCs w:val="24"/>
                  </w:rPr>
                  <w:t xml:space="preserve"> Bristol</w:t>
                </w:r>
              </w:sdtContent>
            </w:sdt>
          </w:p>
        </w:tc>
      </w:tr>
      <w:tr w:rsidR="008A5DEB" w:rsidRPr="00E20404" w14:paraId="2A8FCC68"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88EA43" w14:textId="1093D401" w:rsidR="008A5DEB" w:rsidRPr="00E20404" w:rsidRDefault="00FF6AEA">
            <w:pPr>
              <w:rPr>
                <w:rFonts w:asciiTheme="minorHAnsi" w:hAnsiTheme="minorHAnsi" w:cstheme="minorHAnsi"/>
                <w:szCs w:val="24"/>
              </w:rPr>
            </w:pPr>
            <w:r w:rsidRPr="00E20404">
              <w:rPr>
                <w:rFonts w:asciiTheme="minorHAnsi" w:hAnsiTheme="minorHAnsi" w:cstheme="minorHAnsi"/>
                <w:color w:val="2E74B5" w:themeColor="accent1" w:themeShade="BF"/>
                <w:sz w:val="28"/>
                <w:szCs w:val="24"/>
              </w:rPr>
              <w:t xml:space="preserve">Project </w:t>
            </w:r>
            <w:r w:rsidR="008A5DEB" w:rsidRPr="00E20404">
              <w:rPr>
                <w:rFonts w:asciiTheme="minorHAnsi" w:hAnsiTheme="minorHAnsi" w:cstheme="minorHAnsi"/>
                <w:color w:val="2E74B5" w:themeColor="accent1" w:themeShade="BF"/>
                <w:sz w:val="28"/>
                <w:szCs w:val="24"/>
              </w:rPr>
              <w:t>Title:</w:t>
            </w:r>
          </w:p>
        </w:tc>
      </w:tr>
      <w:tr w:rsidR="008A5DEB" w:rsidRPr="00E20404" w14:paraId="082EE4C0"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173F29A" w14:textId="00D6DE5A" w:rsidR="00220D1C" w:rsidRPr="00D7684F" w:rsidRDefault="00E20404" w:rsidP="00220D1C">
            <w:pPr>
              <w:spacing w:after="120"/>
              <w:rPr>
                <w:rFonts w:asciiTheme="minorHAnsi" w:hAnsiTheme="minorHAnsi" w:cstheme="minorHAnsi"/>
                <w:szCs w:val="24"/>
              </w:rPr>
            </w:pPr>
            <w:r w:rsidRPr="00D7684F">
              <w:rPr>
                <w:rFonts w:asciiTheme="minorHAnsi" w:hAnsiTheme="minorHAnsi" w:cstheme="minorHAnsi"/>
              </w:rPr>
              <w:t>Optimising community pharmacy’s role in supporting the mental health needs of parents during the postnatal period</w:t>
            </w:r>
          </w:p>
        </w:tc>
      </w:tr>
      <w:tr w:rsidR="00E0356E" w:rsidRPr="00E20404" w14:paraId="4977EDC6"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A0A5552" w14:textId="45513EC4" w:rsidR="00E0356E" w:rsidRPr="00E20404" w:rsidRDefault="00E0356E">
            <w:pPr>
              <w:rPr>
                <w:rFonts w:asciiTheme="minorHAnsi" w:hAnsiTheme="minorHAnsi" w:cstheme="minorHAnsi"/>
                <w:szCs w:val="24"/>
              </w:rPr>
            </w:pPr>
            <w:r w:rsidRPr="00E20404">
              <w:rPr>
                <w:rFonts w:asciiTheme="minorHAnsi" w:hAnsiTheme="minorHAnsi" w:cstheme="minorHAnsi"/>
                <w:color w:val="2E74B5" w:themeColor="accent1" w:themeShade="BF"/>
                <w:sz w:val="28"/>
                <w:szCs w:val="24"/>
              </w:rPr>
              <w:t>Proposed supervisory team:</w:t>
            </w:r>
            <w:r w:rsidR="002F31FE" w:rsidRPr="00E20404">
              <w:rPr>
                <w:rFonts w:asciiTheme="minorHAnsi" w:hAnsiTheme="minorHAnsi" w:cstheme="minorHAnsi"/>
                <w:szCs w:val="24"/>
              </w:rPr>
              <w:t xml:space="preserve">                                      </w:t>
            </w:r>
          </w:p>
        </w:tc>
      </w:tr>
      <w:tr w:rsidR="00E0356E" w:rsidRPr="00E20404" w14:paraId="6C401CA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6DE57C25" w14:textId="77777777" w:rsidR="00E20404" w:rsidRPr="00E20404" w:rsidRDefault="00E20404" w:rsidP="00E20404">
            <w:pPr>
              <w:pStyle w:val="ListParagraph"/>
              <w:ind w:left="0"/>
              <w:rPr>
                <w:rFonts w:asciiTheme="minorHAnsi" w:hAnsiTheme="minorHAnsi" w:cstheme="minorHAnsi"/>
                <w:b w:val="0"/>
                <w:bCs w:val="0"/>
                <w:szCs w:val="24"/>
              </w:rPr>
            </w:pPr>
            <w:r w:rsidRPr="00E20404">
              <w:rPr>
                <w:rFonts w:asciiTheme="minorHAnsi" w:hAnsiTheme="minorHAnsi" w:cstheme="minorHAnsi"/>
                <w:szCs w:val="24"/>
              </w:rPr>
              <w:t>Katrina Turner</w:t>
            </w:r>
            <w:r w:rsidRPr="00E20404">
              <w:rPr>
                <w:rFonts w:asciiTheme="minorHAnsi" w:hAnsiTheme="minorHAnsi" w:cstheme="minorHAnsi"/>
                <w:b w:val="0"/>
                <w:bCs w:val="0"/>
                <w:szCs w:val="24"/>
              </w:rPr>
              <w:t xml:space="preserve">, Professor of Primary Care Research, Bristol University. Qualitative methodologist with expertise in mental health research, intervention development and evaluation. </w:t>
            </w:r>
          </w:p>
          <w:p w14:paraId="692A9EB0" w14:textId="77777777" w:rsidR="00E20404" w:rsidRPr="00E20404" w:rsidRDefault="00E20404" w:rsidP="00E20404">
            <w:pPr>
              <w:pStyle w:val="ListParagraph"/>
              <w:ind w:left="0"/>
              <w:rPr>
                <w:rFonts w:asciiTheme="minorHAnsi" w:hAnsiTheme="minorHAnsi" w:cstheme="minorHAnsi"/>
                <w:b w:val="0"/>
                <w:bCs w:val="0"/>
                <w:szCs w:val="24"/>
              </w:rPr>
            </w:pPr>
            <w:r w:rsidRPr="00E20404">
              <w:rPr>
                <w:rFonts w:asciiTheme="minorHAnsi" w:hAnsiTheme="minorHAnsi" w:cstheme="minorHAnsi"/>
                <w:szCs w:val="24"/>
              </w:rPr>
              <w:t>Ian Maidment</w:t>
            </w:r>
            <w:r w:rsidRPr="00E20404">
              <w:rPr>
                <w:rFonts w:asciiTheme="minorHAnsi" w:hAnsiTheme="minorHAnsi" w:cstheme="minorHAnsi"/>
                <w:b w:val="0"/>
                <w:bCs w:val="0"/>
                <w:szCs w:val="24"/>
              </w:rPr>
              <w:t xml:space="preserve">, Professor of Clinical Pharmacy, Aston University. Expertise includes community pharmacy, including community pharmacy interventions and qualitative methods. </w:t>
            </w:r>
          </w:p>
          <w:p w14:paraId="4976C3BE" w14:textId="17D889C9" w:rsidR="00220D1C" w:rsidRPr="00E20404" w:rsidRDefault="00E20404" w:rsidP="00E20404">
            <w:pPr>
              <w:pStyle w:val="ListParagraph"/>
              <w:ind w:left="0"/>
              <w:rPr>
                <w:rFonts w:asciiTheme="minorHAnsi" w:hAnsiTheme="minorHAnsi" w:cstheme="minorHAnsi"/>
                <w:b w:val="0"/>
                <w:bCs w:val="0"/>
                <w:szCs w:val="24"/>
              </w:rPr>
            </w:pPr>
            <w:r w:rsidRPr="00E20404">
              <w:rPr>
                <w:rFonts w:asciiTheme="minorHAnsi" w:hAnsiTheme="minorHAnsi" w:cstheme="minorHAnsi"/>
                <w:szCs w:val="24"/>
              </w:rPr>
              <w:t>Tom Kingstone</w:t>
            </w:r>
            <w:r w:rsidRPr="00E20404">
              <w:rPr>
                <w:rFonts w:asciiTheme="minorHAnsi" w:hAnsiTheme="minorHAnsi" w:cstheme="minorHAnsi"/>
                <w:b w:val="0"/>
                <w:bCs w:val="0"/>
                <w:szCs w:val="24"/>
              </w:rPr>
              <w:t xml:space="preserve">, Lecturer in Mental Health and Wellbeing, Keele University. Expertise in exploratory mental health research, qualitative methods and patient and public involvement. </w:t>
            </w:r>
          </w:p>
        </w:tc>
      </w:tr>
      <w:tr w:rsidR="00787EF3" w:rsidRPr="00E20404" w14:paraId="6F63D82B"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770045B" w14:textId="2C76F51A" w:rsidR="00787EF3" w:rsidRPr="00E20404" w:rsidRDefault="00787EF3" w:rsidP="00787EF3">
            <w:pPr>
              <w:rPr>
                <w:rFonts w:asciiTheme="minorHAnsi" w:hAnsiTheme="minorHAnsi" w:cstheme="minorHAnsi"/>
                <w:b w:val="0"/>
                <w:color w:val="2E74B5" w:themeColor="accent1" w:themeShade="BF"/>
                <w:sz w:val="28"/>
                <w:szCs w:val="28"/>
              </w:rPr>
            </w:pPr>
            <w:r w:rsidRPr="00E20404">
              <w:rPr>
                <w:rFonts w:asciiTheme="minorHAnsi" w:hAnsiTheme="minorHAnsi" w:cstheme="minorHAnsi"/>
                <w:color w:val="2E74B5" w:themeColor="accent1" w:themeShade="BF"/>
                <w:sz w:val="28"/>
                <w:szCs w:val="28"/>
              </w:rPr>
              <w:t>Potential for cross consortium networking and educational opportunities:</w:t>
            </w:r>
          </w:p>
        </w:tc>
      </w:tr>
      <w:tr w:rsidR="00787EF3" w:rsidRPr="00E20404" w14:paraId="3C92EF33"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0F35E2" w14:textId="245B3466" w:rsidR="00220D1C" w:rsidRPr="00E20404" w:rsidRDefault="00D7684F" w:rsidP="00E20404">
            <w:pPr>
              <w:rPr>
                <w:rFonts w:asciiTheme="minorHAnsi" w:hAnsiTheme="minorHAnsi" w:cstheme="minorHAnsi"/>
                <w:b w:val="0"/>
                <w:bCs w:val="0"/>
                <w:szCs w:val="24"/>
              </w:rPr>
            </w:pPr>
            <w:r>
              <w:rPr>
                <w:rFonts w:asciiTheme="minorHAnsi" w:hAnsiTheme="minorHAnsi" w:cstheme="minorHAnsi"/>
                <w:b w:val="0"/>
                <w:bCs w:val="0"/>
              </w:rPr>
              <w:t>M</w:t>
            </w:r>
            <w:r w:rsidR="00E20404" w:rsidRPr="00E20404">
              <w:rPr>
                <w:rFonts w:asciiTheme="minorHAnsi" w:hAnsiTheme="minorHAnsi" w:cstheme="minorHAnsi"/>
                <w:b w:val="0"/>
                <w:bCs w:val="0"/>
              </w:rPr>
              <w:t xml:space="preserve">embers of the supervisory team are already working together on studies </w:t>
            </w:r>
            <w:proofErr w:type="gramStart"/>
            <w:r w:rsidR="00E20404" w:rsidRPr="00E20404">
              <w:rPr>
                <w:rFonts w:asciiTheme="minorHAnsi" w:hAnsiTheme="minorHAnsi" w:cstheme="minorHAnsi"/>
                <w:b w:val="0"/>
                <w:bCs w:val="0"/>
              </w:rPr>
              <w:t>in the area of</w:t>
            </w:r>
            <w:proofErr w:type="gramEnd"/>
            <w:r w:rsidR="00E20404" w:rsidRPr="00E20404">
              <w:rPr>
                <w:rFonts w:asciiTheme="minorHAnsi" w:hAnsiTheme="minorHAnsi" w:cstheme="minorHAnsi"/>
                <w:b w:val="0"/>
                <w:bCs w:val="0"/>
              </w:rPr>
              <w:t xml:space="preserve"> perinatal mental health, which involve colleagues from across the SPCR. The student will have opportunities to attend project meetings, dissemination events, and to talk to other members of the research team. The student will also join Professor Maidment’s Pharmacy and Medication Optimisation Research Group and have support from the wider team that includes PhD students, research fellows and post-docs. The student will be invited to regularly present their work to this group. Professor Maidment also has strong links with pharmacy organisations regionally and nationally [</w:t>
            </w:r>
            <w:proofErr w:type="gramStart"/>
            <w:r w:rsidR="00E20404" w:rsidRPr="00E20404">
              <w:rPr>
                <w:rFonts w:asciiTheme="minorHAnsi" w:hAnsiTheme="minorHAnsi" w:cstheme="minorHAnsi"/>
                <w:b w:val="0"/>
                <w:bCs w:val="0"/>
              </w:rPr>
              <w:t>e.g.</w:t>
            </w:r>
            <w:proofErr w:type="gramEnd"/>
            <w:r w:rsidR="00E20404" w:rsidRPr="00E20404">
              <w:rPr>
                <w:rFonts w:asciiTheme="minorHAnsi" w:hAnsiTheme="minorHAnsi" w:cstheme="minorHAnsi"/>
                <w:b w:val="0"/>
                <w:bCs w:val="0"/>
              </w:rPr>
              <w:t xml:space="preserve"> PSNC (Pharmaceutical Services Negotiating Committee), RPS (Royal Pharmaceutical Society), NPA (National Pharmacy Association)] to support the research in terms of recruitment, dissemination and impact.</w:t>
            </w:r>
            <w:r>
              <w:rPr>
                <w:rFonts w:asciiTheme="minorHAnsi" w:hAnsiTheme="minorHAnsi" w:cstheme="minorHAnsi"/>
                <w:b w:val="0"/>
                <w:bCs w:val="0"/>
              </w:rPr>
              <w:t xml:space="preserve"> Lastly, a</w:t>
            </w:r>
            <w:r w:rsidRPr="00E20404">
              <w:rPr>
                <w:rFonts w:asciiTheme="minorHAnsi" w:hAnsiTheme="minorHAnsi" w:cstheme="minorHAnsi"/>
                <w:b w:val="0"/>
                <w:bCs w:val="0"/>
              </w:rPr>
              <w:t>ll three supervisors are members of the Society for Academic Primary Care (SAPC)’s Mental Health Special Interest Group (SIG</w:t>
            </w:r>
            <w:r>
              <w:rPr>
                <w:rFonts w:asciiTheme="minorHAnsi" w:hAnsiTheme="minorHAnsi" w:cstheme="minorHAnsi"/>
                <w:b w:val="0"/>
                <w:bCs w:val="0"/>
              </w:rPr>
              <w:t>)</w:t>
            </w:r>
            <w:r w:rsidRPr="00E20404">
              <w:rPr>
                <w:rFonts w:asciiTheme="minorHAnsi" w:hAnsiTheme="minorHAnsi" w:cstheme="minorHAnsi"/>
                <w:b w:val="0"/>
                <w:bCs w:val="0"/>
              </w:rPr>
              <w:t>. The student will be encouraged to join the SIG, which meets quarterly online and includes over 40 members from across the UK.</w:t>
            </w:r>
          </w:p>
        </w:tc>
      </w:tr>
      <w:tr w:rsidR="00E0356E" w:rsidRPr="00E20404" w14:paraId="6F97C7C9"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298EBB7" w14:textId="77777777" w:rsidR="00E0356E" w:rsidRPr="00E20404" w:rsidRDefault="00E0356E">
            <w:pPr>
              <w:rPr>
                <w:rFonts w:asciiTheme="minorHAnsi" w:hAnsiTheme="minorHAnsi" w:cstheme="minorHAnsi"/>
                <w:b w:val="0"/>
                <w:szCs w:val="24"/>
              </w:rPr>
            </w:pPr>
            <w:r w:rsidRPr="00E20404">
              <w:rPr>
                <w:rFonts w:asciiTheme="minorHAnsi" w:hAnsiTheme="minorHAnsi" w:cstheme="minorHAnsi"/>
                <w:bCs w:val="0"/>
                <w:color w:val="2E74B5" w:themeColor="accent1" w:themeShade="BF"/>
                <w:sz w:val="28"/>
                <w:szCs w:val="24"/>
              </w:rPr>
              <w:t>Project description</w:t>
            </w:r>
            <w:r w:rsidRPr="00E20404">
              <w:rPr>
                <w:rFonts w:asciiTheme="minorHAnsi" w:hAnsiTheme="minorHAnsi" w:cstheme="minorHAnsi"/>
                <w:b w:val="0"/>
                <w:color w:val="2E74B5" w:themeColor="accent1" w:themeShade="BF"/>
                <w:sz w:val="28"/>
                <w:szCs w:val="24"/>
              </w:rPr>
              <w:t>:</w:t>
            </w:r>
          </w:p>
        </w:tc>
      </w:tr>
      <w:tr w:rsidR="00E0356E" w:rsidRPr="00E20404" w14:paraId="295FC3B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0B9441EC" w14:textId="77777777" w:rsidR="00E20404" w:rsidRPr="00B61B44" w:rsidRDefault="00E20404" w:rsidP="00E20404">
            <w:pPr>
              <w:spacing w:after="120"/>
              <w:jc w:val="both"/>
              <w:rPr>
                <w:rFonts w:asciiTheme="minorHAnsi" w:hAnsiTheme="minorHAnsi" w:cstheme="minorHAnsi"/>
                <w:sz w:val="16"/>
                <w:szCs w:val="16"/>
              </w:rPr>
            </w:pPr>
            <w:r w:rsidRPr="00E20404">
              <w:rPr>
                <w:rFonts w:asciiTheme="minorHAnsi" w:hAnsiTheme="minorHAnsi" w:cstheme="minorHAnsi"/>
              </w:rPr>
              <w:t>Background</w:t>
            </w:r>
            <w:r>
              <w:rPr>
                <w:rFonts w:asciiTheme="minorHAnsi" w:hAnsiTheme="minorHAnsi" w:cstheme="minorHAnsi"/>
              </w:rPr>
              <w:t>:</w:t>
            </w:r>
            <w:r w:rsidRPr="00E20404">
              <w:rPr>
                <w:rFonts w:asciiTheme="minorHAnsi" w:hAnsiTheme="minorHAnsi" w:cstheme="minorHAnsi"/>
              </w:rPr>
              <w:t xml:space="preserve"> </w:t>
            </w:r>
            <w:r w:rsidRPr="00E20404">
              <w:rPr>
                <w:rFonts w:asciiTheme="minorHAnsi" w:hAnsiTheme="minorHAnsi" w:cstheme="minorHAnsi"/>
                <w:b w:val="0"/>
                <w:bCs w:val="0"/>
              </w:rPr>
              <w:t xml:space="preserve">Many parents, particularly new parents, struggle during the postnatal period, </w:t>
            </w:r>
            <w:proofErr w:type="gramStart"/>
            <w:r w:rsidRPr="00E20404">
              <w:rPr>
                <w:rFonts w:asciiTheme="minorHAnsi" w:hAnsiTheme="minorHAnsi" w:cstheme="minorHAnsi"/>
                <w:b w:val="0"/>
                <w:bCs w:val="0"/>
              </w:rPr>
              <w:t>i.e.</w:t>
            </w:r>
            <w:proofErr w:type="gramEnd"/>
            <w:r w:rsidRPr="00E20404">
              <w:rPr>
                <w:rFonts w:asciiTheme="minorHAnsi" w:hAnsiTheme="minorHAnsi" w:cstheme="minorHAnsi"/>
                <w:b w:val="0"/>
                <w:bCs w:val="0"/>
              </w:rPr>
              <w:t xml:space="preserve"> the first 12 months following the birth of a child. The NHS report that 1 in 10 women suffer from postnatal depression, and 24-50% of fathers whose partners have depression, experience depression themselves. As importantly, there is a much larger group who, whilst not diagnosed with depression, struggle to cope mentally and emotionally with the demands and challenges of parenting a newborn. </w:t>
            </w:r>
          </w:p>
          <w:p w14:paraId="28F95957" w14:textId="77777777"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xml:space="preserve">During the postnatal period parents may consult their GP, community midwife and health visitor, and evidence suggests that early intervention can decrease an individual’s risk of developing more serious mental health problems. However, some parents may be hesitant to seek professional advice due to the stigma surrounding poor mental health and society’s pressure to be the “perfect parent”. Furthermore, fathers may be excluded from discussions, as health visitor or midwife appointments often focus only on the needs of the mother and child, and because fathers may avoid questions about themselves as they prioritise the needs of others. </w:t>
            </w:r>
          </w:p>
          <w:p w14:paraId="74F83BFB" w14:textId="77777777"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xml:space="preserve">Community pharmacists and counter assistants might be in a particularly good position to identity and support parents who are struggling mentally. Over 1.6 million people visit a community pharmacy every day and, due to the increasing use of remote consultations in general practice, for many individuals attending a community pharmacy will be their most frequent in-person healthcare interaction. In addition, interacting with individuals buying nappies, formula milk, Calpol® etc, and seeking advice on issues such as nappy rash, could provide opportunities for pharmacists to initiate discussions with parents about how they are feeling. </w:t>
            </w:r>
          </w:p>
          <w:p w14:paraId="1BDDF64F" w14:textId="77777777"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xml:space="preserve">Currently, we know very little about the support community pharmacy give parents, but the limited research that has been done indicates that pharmacists view themselves as having a significant role in </w:t>
            </w:r>
            <w:r w:rsidRPr="00E20404">
              <w:rPr>
                <w:rFonts w:asciiTheme="minorHAnsi" w:hAnsiTheme="minorHAnsi" w:cstheme="minorHAnsi"/>
                <w:b w:val="0"/>
                <w:bCs w:val="0"/>
              </w:rPr>
              <w:lastRenderedPageBreak/>
              <w:t xml:space="preserve">recognising postnatal depression, although they experience barriers to service provision that include inter-professional role boundaries, and a lack of clear referral systems and adequate training in mental health. Therefore, we need to better understand their current role in providing mental health support to </w:t>
            </w:r>
            <w:proofErr w:type="gramStart"/>
            <w:r w:rsidRPr="00E20404">
              <w:rPr>
                <w:rFonts w:asciiTheme="minorHAnsi" w:hAnsiTheme="minorHAnsi" w:cstheme="minorHAnsi"/>
                <w:b w:val="0"/>
                <w:bCs w:val="0"/>
              </w:rPr>
              <w:t>parents, and</w:t>
            </w:r>
            <w:proofErr w:type="gramEnd"/>
            <w:r w:rsidRPr="00E20404">
              <w:rPr>
                <w:rFonts w:asciiTheme="minorHAnsi" w:hAnsiTheme="minorHAnsi" w:cstheme="minorHAnsi"/>
                <w:b w:val="0"/>
                <w:bCs w:val="0"/>
              </w:rPr>
              <w:t xml:space="preserve"> consider how it could be expanded and better integrated across primary care services. </w:t>
            </w:r>
          </w:p>
          <w:p w14:paraId="01860CA9" w14:textId="64D955F1" w:rsidR="00E20404" w:rsidRDefault="00E20404" w:rsidP="00E20404">
            <w:pPr>
              <w:spacing w:after="120"/>
              <w:jc w:val="both"/>
              <w:rPr>
                <w:rFonts w:asciiTheme="minorHAnsi" w:hAnsiTheme="minorHAnsi" w:cstheme="minorHAnsi"/>
              </w:rPr>
            </w:pPr>
            <w:r w:rsidRPr="00E20404">
              <w:rPr>
                <w:rFonts w:asciiTheme="minorHAnsi" w:hAnsiTheme="minorHAnsi" w:cstheme="minorHAnsi"/>
              </w:rPr>
              <w:t>Aims and objectives</w:t>
            </w:r>
            <w:r>
              <w:rPr>
                <w:rFonts w:asciiTheme="minorHAnsi" w:hAnsiTheme="minorHAnsi" w:cstheme="minorHAnsi"/>
                <w:b w:val="0"/>
                <w:bCs w:val="0"/>
              </w:rPr>
              <w:t>:</w:t>
            </w:r>
            <w:r w:rsidRPr="00E20404">
              <w:rPr>
                <w:rFonts w:asciiTheme="minorHAnsi" w:hAnsiTheme="minorHAnsi" w:cstheme="minorHAnsi"/>
                <w:b w:val="0"/>
                <w:bCs w:val="0"/>
              </w:rPr>
              <w:t xml:space="preserve"> The aim of the study is to understand how community pharmacy staff can best support the mental health needs of parents during the postnatal period. Specific study objectives are to: </w:t>
            </w:r>
            <w:r w:rsidR="00D7684F">
              <w:rPr>
                <w:rFonts w:asciiTheme="minorHAnsi" w:hAnsiTheme="minorHAnsi" w:cstheme="minorHAnsi"/>
                <w:b w:val="0"/>
                <w:bCs w:val="0"/>
              </w:rPr>
              <w:t>r</w:t>
            </w:r>
            <w:r w:rsidRPr="00E20404">
              <w:rPr>
                <w:rFonts w:asciiTheme="minorHAnsi" w:hAnsiTheme="minorHAnsi" w:cstheme="minorHAnsi"/>
                <w:b w:val="0"/>
                <w:bCs w:val="0"/>
              </w:rPr>
              <w:t>eview existing evidence on community pharmacy support during the postnatal period</w:t>
            </w:r>
            <w:r w:rsidR="00855023">
              <w:rPr>
                <w:rFonts w:asciiTheme="minorHAnsi" w:hAnsiTheme="minorHAnsi" w:cstheme="minorHAnsi"/>
                <w:b w:val="0"/>
                <w:bCs w:val="0"/>
              </w:rPr>
              <w:t xml:space="preserve">; </w:t>
            </w:r>
            <w:r w:rsidRPr="00E20404">
              <w:rPr>
                <w:rFonts w:asciiTheme="minorHAnsi" w:hAnsiTheme="minorHAnsi" w:cstheme="minorHAnsi"/>
                <w:b w:val="0"/>
                <w:bCs w:val="0"/>
              </w:rPr>
              <w:t xml:space="preserve"> </w:t>
            </w:r>
            <w:r w:rsidR="00D7684F">
              <w:rPr>
                <w:rFonts w:asciiTheme="minorHAnsi" w:hAnsiTheme="minorHAnsi" w:cstheme="minorHAnsi"/>
                <w:b w:val="0"/>
                <w:bCs w:val="0"/>
              </w:rPr>
              <w:t>e</w:t>
            </w:r>
            <w:r w:rsidRPr="00E20404">
              <w:rPr>
                <w:rFonts w:asciiTheme="minorHAnsi" w:hAnsiTheme="minorHAnsi" w:cstheme="minorHAnsi"/>
                <w:b w:val="0"/>
                <w:bCs w:val="0"/>
              </w:rPr>
              <w:t>xplore community pharmacists, counter assistants and other primary care practitioners’ (GPs, midwives, health visitors, practice nurses) views on the current and potential role of pharmacists in supporting parents</w:t>
            </w:r>
            <w:r w:rsidR="00855023">
              <w:rPr>
                <w:rFonts w:asciiTheme="minorHAnsi" w:hAnsiTheme="minorHAnsi" w:cstheme="minorHAnsi"/>
                <w:b w:val="0"/>
                <w:bCs w:val="0"/>
              </w:rPr>
              <w:t>;</w:t>
            </w:r>
            <w:r w:rsidRPr="00E20404">
              <w:rPr>
                <w:rFonts w:asciiTheme="minorHAnsi" w:hAnsiTheme="minorHAnsi" w:cstheme="minorHAnsi"/>
                <w:b w:val="0"/>
                <w:bCs w:val="0"/>
              </w:rPr>
              <w:t xml:space="preserve"> </w:t>
            </w:r>
            <w:r w:rsidR="00D7684F">
              <w:rPr>
                <w:rFonts w:asciiTheme="minorHAnsi" w:hAnsiTheme="minorHAnsi" w:cstheme="minorHAnsi"/>
                <w:b w:val="0"/>
                <w:bCs w:val="0"/>
              </w:rPr>
              <w:t>a</w:t>
            </w:r>
            <w:r w:rsidRPr="00E20404">
              <w:rPr>
                <w:rFonts w:asciiTheme="minorHAnsi" w:hAnsiTheme="minorHAnsi" w:cstheme="minorHAnsi"/>
                <w:b w:val="0"/>
                <w:bCs w:val="0"/>
              </w:rPr>
              <w:t>ssess parents’ views on the role of pharmacy staff, and what types of support and intervention they would view as potentially beneficial to them</w:t>
            </w:r>
            <w:r w:rsidR="00855023">
              <w:rPr>
                <w:rFonts w:asciiTheme="minorHAnsi" w:hAnsiTheme="minorHAnsi" w:cstheme="minorHAnsi"/>
                <w:b w:val="0"/>
                <w:bCs w:val="0"/>
              </w:rPr>
              <w:t xml:space="preserve">; </w:t>
            </w:r>
            <w:r w:rsidR="00D7684F">
              <w:rPr>
                <w:rFonts w:asciiTheme="minorHAnsi" w:hAnsiTheme="minorHAnsi" w:cstheme="minorHAnsi"/>
                <w:b w:val="0"/>
                <w:bCs w:val="0"/>
              </w:rPr>
              <w:t>i</w:t>
            </w:r>
            <w:r w:rsidRPr="00E20404">
              <w:rPr>
                <w:rFonts w:asciiTheme="minorHAnsi" w:hAnsiTheme="minorHAnsi" w:cstheme="minorHAnsi"/>
                <w:b w:val="0"/>
                <w:bCs w:val="0"/>
              </w:rPr>
              <w:t>dentify and outline interventions that could increase the capacity of pharmacy staff to identify and manage parents during the postnatal period</w:t>
            </w:r>
            <w:r w:rsidR="00D7684F">
              <w:rPr>
                <w:rFonts w:asciiTheme="minorHAnsi" w:hAnsiTheme="minorHAnsi" w:cstheme="minorHAnsi"/>
                <w:b w:val="0"/>
                <w:bCs w:val="0"/>
              </w:rPr>
              <w:t>.</w:t>
            </w:r>
            <w:r w:rsidRPr="00E20404">
              <w:rPr>
                <w:rFonts w:asciiTheme="minorHAnsi" w:hAnsiTheme="minorHAnsi" w:cstheme="minorHAnsi"/>
                <w:b w:val="0"/>
                <w:bCs w:val="0"/>
              </w:rPr>
              <w:t xml:space="preserve"> </w:t>
            </w:r>
          </w:p>
          <w:p w14:paraId="0A8FE002" w14:textId="4C91696B" w:rsidR="00E20404" w:rsidRPr="00E20404" w:rsidRDefault="00E20404" w:rsidP="00E20404">
            <w:pPr>
              <w:spacing w:after="120"/>
              <w:jc w:val="both"/>
              <w:rPr>
                <w:rFonts w:asciiTheme="minorHAnsi" w:hAnsiTheme="minorHAnsi" w:cstheme="minorHAnsi"/>
              </w:rPr>
            </w:pPr>
            <w:r w:rsidRPr="00E20404">
              <w:rPr>
                <w:rFonts w:asciiTheme="minorHAnsi" w:hAnsiTheme="minorHAnsi" w:cstheme="minorHAnsi"/>
              </w:rPr>
              <w:t xml:space="preserve">Methods </w:t>
            </w:r>
          </w:p>
          <w:p w14:paraId="38B3458F" w14:textId="4898378E"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Systematic review of relevant literature</w:t>
            </w:r>
            <w:r w:rsidR="00482658">
              <w:rPr>
                <w:rFonts w:asciiTheme="minorHAnsi" w:hAnsiTheme="minorHAnsi" w:cstheme="minorHAnsi"/>
                <w:b w:val="0"/>
                <w:bCs w:val="0"/>
              </w:rPr>
              <w:t>,</w:t>
            </w:r>
            <w:r w:rsidRPr="00E20404">
              <w:rPr>
                <w:rFonts w:asciiTheme="minorHAnsi" w:hAnsiTheme="minorHAnsi" w:cstheme="minorHAnsi"/>
                <w:b w:val="0"/>
                <w:bCs w:val="0"/>
              </w:rPr>
              <w:t xml:space="preserve"> including the grey literature and pharmacy literature </w:t>
            </w:r>
          </w:p>
          <w:p w14:paraId="64CB96BF" w14:textId="77777777"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xml:space="preserve">• In-depth interviews with community pharmacists, counter </w:t>
            </w:r>
            <w:proofErr w:type="gramStart"/>
            <w:r w:rsidRPr="00E20404">
              <w:rPr>
                <w:rFonts w:asciiTheme="minorHAnsi" w:hAnsiTheme="minorHAnsi" w:cstheme="minorHAnsi"/>
                <w:b w:val="0"/>
                <w:bCs w:val="0"/>
              </w:rPr>
              <w:t>assistants</w:t>
            </w:r>
            <w:proofErr w:type="gramEnd"/>
            <w:r w:rsidRPr="00E20404">
              <w:rPr>
                <w:rFonts w:asciiTheme="minorHAnsi" w:hAnsiTheme="minorHAnsi" w:cstheme="minorHAnsi"/>
                <w:b w:val="0"/>
                <w:bCs w:val="0"/>
              </w:rPr>
              <w:t xml:space="preserve"> and other primary care practitioners </w:t>
            </w:r>
          </w:p>
          <w:p w14:paraId="00341566" w14:textId="77777777"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xml:space="preserve">• Focus groups and interviews with parents who self-identify as struggling to cope mentally, including those who have been diagnosed with postnatal depression and/or anxiety, and have a child under the age of 1 year, purposefully targeting first-time mothers and fathers </w:t>
            </w:r>
          </w:p>
          <w:p w14:paraId="6016DEBD" w14:textId="77777777" w:rsidR="00E20404" w:rsidRDefault="00E20404" w:rsidP="00E20404">
            <w:pPr>
              <w:spacing w:after="120"/>
              <w:jc w:val="both"/>
              <w:rPr>
                <w:rFonts w:asciiTheme="minorHAnsi" w:hAnsiTheme="minorHAnsi" w:cstheme="minorHAnsi"/>
              </w:rPr>
            </w:pPr>
            <w:r w:rsidRPr="00E20404">
              <w:rPr>
                <w:rFonts w:asciiTheme="minorHAnsi" w:hAnsiTheme="minorHAnsi" w:cstheme="minorHAnsi"/>
                <w:b w:val="0"/>
                <w:bCs w:val="0"/>
              </w:rPr>
              <w:t xml:space="preserve">• Outline potential pharmacy-led interventions targeting parents struggling to cope, including those with postnatal depression and anxiety </w:t>
            </w:r>
          </w:p>
          <w:p w14:paraId="4E8397B4" w14:textId="64E29E21" w:rsidR="00220D1C" w:rsidRPr="00E20404" w:rsidRDefault="00E20404" w:rsidP="00E20404">
            <w:pPr>
              <w:spacing w:after="120"/>
              <w:jc w:val="both"/>
              <w:rPr>
                <w:rFonts w:asciiTheme="minorHAnsi" w:hAnsiTheme="minorHAnsi" w:cstheme="minorHAnsi"/>
                <w:b w:val="0"/>
                <w:bCs w:val="0"/>
                <w:szCs w:val="24"/>
              </w:rPr>
            </w:pPr>
            <w:r w:rsidRPr="00E20404">
              <w:rPr>
                <w:rFonts w:asciiTheme="minorHAnsi" w:hAnsiTheme="minorHAnsi" w:cstheme="minorHAnsi"/>
              </w:rPr>
              <w:t>Impact</w:t>
            </w:r>
            <w:r>
              <w:rPr>
                <w:rFonts w:asciiTheme="minorHAnsi" w:hAnsiTheme="minorHAnsi" w:cstheme="minorHAnsi"/>
                <w:b w:val="0"/>
                <w:bCs w:val="0"/>
              </w:rPr>
              <w:t>:</w:t>
            </w:r>
            <w:r w:rsidRPr="00E20404">
              <w:rPr>
                <w:rFonts w:asciiTheme="minorHAnsi" w:hAnsiTheme="minorHAnsi" w:cstheme="minorHAnsi"/>
                <w:b w:val="0"/>
                <w:bCs w:val="0"/>
              </w:rPr>
              <w:t xml:space="preserve"> Findings will address current gaps in knowledge and inform the design of pharmacist-led interventions to support parents</w:t>
            </w:r>
            <w:r w:rsidR="00D7684F">
              <w:rPr>
                <w:rFonts w:asciiTheme="minorHAnsi" w:hAnsiTheme="minorHAnsi" w:cstheme="minorHAnsi"/>
                <w:b w:val="0"/>
                <w:bCs w:val="0"/>
              </w:rPr>
              <w:t>, which could be fully dev</w:t>
            </w:r>
            <w:r w:rsidRPr="00E20404">
              <w:rPr>
                <w:rFonts w:asciiTheme="minorHAnsi" w:hAnsiTheme="minorHAnsi" w:cstheme="minorHAnsi"/>
                <w:b w:val="0"/>
                <w:bCs w:val="0"/>
              </w:rPr>
              <w:t>eloped and evaluated in future studies.</w:t>
            </w:r>
          </w:p>
        </w:tc>
      </w:tr>
      <w:tr w:rsidR="002F31FE" w:rsidRPr="00E20404" w14:paraId="0540F925"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22467D48" w14:textId="17780CF5" w:rsidR="002F31FE" w:rsidRPr="00E20404" w:rsidRDefault="002F31FE" w:rsidP="002F31FE">
            <w:pPr>
              <w:rPr>
                <w:rFonts w:asciiTheme="minorHAnsi" w:hAnsiTheme="minorHAnsi" w:cstheme="minorHAnsi"/>
                <w:szCs w:val="24"/>
              </w:rPr>
            </w:pPr>
            <w:r w:rsidRPr="00E20404">
              <w:rPr>
                <w:rFonts w:asciiTheme="minorHAnsi" w:hAnsiTheme="minorHAnsi" w:cstheme="minorHAnsi"/>
                <w:color w:val="2E74B5" w:themeColor="accent1" w:themeShade="BF"/>
                <w:sz w:val="28"/>
                <w:szCs w:val="24"/>
              </w:rPr>
              <w:lastRenderedPageBreak/>
              <w:t xml:space="preserve">Indicative project costs:                         </w:t>
            </w:r>
          </w:p>
        </w:tc>
      </w:tr>
      <w:tr w:rsidR="002F31FE" w:rsidRPr="00E20404" w14:paraId="1060F06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7949697E" w14:textId="4B237A2F" w:rsidR="00220D1C" w:rsidRPr="00855023" w:rsidRDefault="00B61B44" w:rsidP="00855023">
            <w:pPr>
              <w:pStyle w:val="NormalWeb"/>
              <w:rPr>
                <w:rFonts w:asciiTheme="minorHAnsi" w:hAnsiTheme="minorHAnsi" w:cstheme="minorHAnsi"/>
                <w:b w:val="0"/>
                <w:bCs w:val="0"/>
              </w:rPr>
            </w:pPr>
            <w:r w:rsidRPr="00855023">
              <w:rPr>
                <w:rFonts w:asciiTheme="minorHAnsi" w:hAnsiTheme="minorHAnsi" w:cstheme="minorHAnsi"/>
                <w:b w:val="0"/>
                <w:bCs w:val="0"/>
                <w:color w:val="000000"/>
              </w:rPr>
              <w:t>The project is expected to cost between £</w:t>
            </w:r>
            <w:r w:rsidR="00855023" w:rsidRPr="00855023">
              <w:rPr>
                <w:rFonts w:asciiTheme="minorHAnsi" w:hAnsiTheme="minorHAnsi" w:cstheme="minorHAnsi"/>
                <w:b w:val="0"/>
                <w:bCs w:val="0"/>
                <w:color w:val="000000"/>
              </w:rPr>
              <w:t>1</w:t>
            </w:r>
            <w:r w:rsidR="00FD1523">
              <w:rPr>
                <w:rFonts w:asciiTheme="minorHAnsi" w:hAnsiTheme="minorHAnsi" w:cstheme="minorHAnsi"/>
                <w:b w:val="0"/>
                <w:bCs w:val="0"/>
                <w:color w:val="000000"/>
              </w:rPr>
              <w:t>5</w:t>
            </w:r>
            <w:r w:rsidR="00855023" w:rsidRPr="00855023">
              <w:rPr>
                <w:rFonts w:asciiTheme="minorHAnsi" w:hAnsiTheme="minorHAnsi" w:cstheme="minorHAnsi"/>
                <w:b w:val="0"/>
                <w:bCs w:val="0"/>
                <w:color w:val="000000"/>
              </w:rPr>
              <w:t>-</w:t>
            </w:r>
            <w:r w:rsidR="00FD1523">
              <w:rPr>
                <w:rFonts w:asciiTheme="minorHAnsi" w:hAnsiTheme="minorHAnsi" w:cstheme="minorHAnsi"/>
                <w:b w:val="0"/>
                <w:bCs w:val="0"/>
                <w:color w:val="000000"/>
              </w:rPr>
              <w:t>20</w:t>
            </w:r>
            <w:r w:rsidRPr="00855023">
              <w:rPr>
                <w:rFonts w:asciiTheme="minorHAnsi" w:hAnsiTheme="minorHAnsi" w:cstheme="minorHAnsi"/>
                <w:b w:val="0"/>
                <w:bCs w:val="0"/>
                <w:color w:val="000000"/>
              </w:rPr>
              <w:t>k. These costs would cover</w:t>
            </w:r>
            <w:r w:rsidR="00855023" w:rsidRPr="00855023">
              <w:rPr>
                <w:rFonts w:asciiTheme="minorHAnsi" w:hAnsiTheme="minorHAnsi" w:cstheme="minorHAnsi"/>
                <w:b w:val="0"/>
                <w:bCs w:val="0"/>
                <w:color w:val="000000"/>
              </w:rPr>
              <w:t xml:space="preserve"> e</w:t>
            </w:r>
            <w:r w:rsidRPr="00855023">
              <w:rPr>
                <w:rFonts w:asciiTheme="minorHAnsi" w:hAnsiTheme="minorHAnsi" w:cstheme="minorHAnsi"/>
                <w:b w:val="0"/>
                <w:bCs w:val="0"/>
                <w:color w:val="000000"/>
              </w:rPr>
              <w:t>quipment (laptop, digital</w:t>
            </w:r>
            <w:r w:rsidR="00855023" w:rsidRPr="00855023">
              <w:rPr>
                <w:rFonts w:asciiTheme="minorHAnsi" w:hAnsiTheme="minorHAnsi" w:cstheme="minorHAnsi"/>
                <w:b w:val="0"/>
                <w:bCs w:val="0"/>
                <w:color w:val="000000"/>
              </w:rPr>
              <w:t xml:space="preserve"> voice recorder), transcription of the interviews and focus groups, costs associated with any in person interviews/focus groups, PPIE costs, conference attendance and open access fees. </w:t>
            </w:r>
          </w:p>
        </w:tc>
      </w:tr>
      <w:tr w:rsidR="00E0356E" w:rsidRPr="00E20404" w14:paraId="3B8B9ED2"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59E4D9FD" w14:textId="35CEF0FA" w:rsidR="00E0356E" w:rsidRPr="00E20404" w:rsidRDefault="00E0356E">
            <w:pPr>
              <w:rPr>
                <w:rFonts w:asciiTheme="minorHAnsi" w:hAnsiTheme="minorHAnsi" w:cstheme="minorHAnsi"/>
                <w:szCs w:val="24"/>
              </w:rPr>
            </w:pPr>
            <w:r w:rsidRPr="00E20404">
              <w:rPr>
                <w:rFonts w:asciiTheme="minorHAnsi" w:hAnsiTheme="minorHAnsi" w:cstheme="minorHAnsi"/>
                <w:color w:val="2E74B5" w:themeColor="accent1" w:themeShade="BF"/>
                <w:sz w:val="28"/>
                <w:szCs w:val="24"/>
              </w:rPr>
              <w:t xml:space="preserve">Training </w:t>
            </w:r>
            <w:r w:rsidR="002F31FE" w:rsidRPr="00E20404">
              <w:rPr>
                <w:rFonts w:asciiTheme="minorHAnsi" w:hAnsiTheme="minorHAnsi" w:cstheme="minorHAnsi"/>
                <w:color w:val="2E74B5" w:themeColor="accent1" w:themeShade="BF"/>
                <w:sz w:val="28"/>
                <w:szCs w:val="24"/>
              </w:rPr>
              <w:t>and development provision by host</w:t>
            </w:r>
            <w:r w:rsidRPr="00E20404">
              <w:rPr>
                <w:rFonts w:asciiTheme="minorHAnsi" w:hAnsiTheme="minorHAnsi" w:cstheme="minorHAnsi"/>
                <w:color w:val="2E74B5" w:themeColor="accent1" w:themeShade="BF"/>
                <w:sz w:val="28"/>
                <w:szCs w:val="24"/>
              </w:rPr>
              <w:t>:</w:t>
            </w:r>
          </w:p>
        </w:tc>
      </w:tr>
      <w:tr w:rsidR="00E0356E" w:rsidRPr="00E20404" w14:paraId="48269DFA"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11E72CB" w14:textId="173A842C" w:rsidR="00E0356E" w:rsidRPr="00D7684F" w:rsidRDefault="002B0282" w:rsidP="00B32C43">
            <w:pPr>
              <w:pStyle w:val="BodyText2"/>
              <w:tabs>
                <w:tab w:val="clear" w:pos="720"/>
              </w:tabs>
              <w:jc w:val="both"/>
              <w:rPr>
                <w:rFonts w:asciiTheme="minorHAnsi" w:hAnsiTheme="minorHAnsi" w:cstheme="minorHAnsi"/>
                <w:sz w:val="24"/>
                <w:szCs w:val="24"/>
              </w:rPr>
            </w:pPr>
            <w:r w:rsidRPr="00D7684F">
              <w:rPr>
                <w:rFonts w:asciiTheme="minorHAnsi" w:hAnsiTheme="minorHAnsi" w:cstheme="minorHAnsi"/>
                <w:i/>
                <w:sz w:val="24"/>
                <w:szCs w:val="24"/>
              </w:rPr>
              <w:t>Formal training:</w:t>
            </w:r>
            <w:r w:rsidR="00E20404" w:rsidRPr="00D7684F">
              <w:rPr>
                <w:rFonts w:asciiTheme="minorHAnsi" w:hAnsiTheme="minorHAnsi" w:cstheme="minorHAnsi"/>
                <w:sz w:val="24"/>
                <w:szCs w:val="24"/>
              </w:rPr>
              <w:t xml:space="preserve"> Bespoke according to the student’s needs, but courses could include Bristol Medical School internationally renowned research methodology short courses </w:t>
            </w:r>
            <w:proofErr w:type="gramStart"/>
            <w:r w:rsidR="00E20404" w:rsidRPr="00D7684F">
              <w:rPr>
                <w:rFonts w:asciiTheme="minorHAnsi" w:hAnsiTheme="minorHAnsi" w:cstheme="minorHAnsi"/>
                <w:sz w:val="24"/>
                <w:szCs w:val="24"/>
              </w:rPr>
              <w:t>in:</w:t>
            </w:r>
            <w:proofErr w:type="gramEnd"/>
            <w:r w:rsidR="00E20404" w:rsidRPr="00D7684F">
              <w:rPr>
                <w:rFonts w:asciiTheme="minorHAnsi" w:hAnsiTheme="minorHAnsi" w:cstheme="minorHAnsi"/>
                <w:sz w:val="24"/>
                <w:szCs w:val="24"/>
              </w:rPr>
              <w:t xml:space="preserve"> an introduction to qualitative research methods (5 days), introduction to research governance (2 days), introduction to systematic reviews and meta-analysis (4 days), writing a journal article (3 days) and writing a qualitative paper (1 day). The student would also be encouraged to attend ‘development courses’ run by Bristol University</w:t>
            </w:r>
            <w:r w:rsidR="00B61B44" w:rsidRPr="00D7684F">
              <w:rPr>
                <w:rFonts w:asciiTheme="minorHAnsi" w:hAnsiTheme="minorHAnsi" w:cstheme="minorHAnsi"/>
                <w:sz w:val="24"/>
                <w:szCs w:val="24"/>
              </w:rPr>
              <w:t>.</w:t>
            </w:r>
          </w:p>
        </w:tc>
      </w:tr>
      <w:tr w:rsidR="00EA7C68" w:rsidRPr="00E20404" w14:paraId="581BD96C"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1A7365FA" w14:textId="3A384895" w:rsidR="00EA7C68" w:rsidRPr="00D7684F" w:rsidRDefault="00EA7C68" w:rsidP="00E20404">
            <w:pPr>
              <w:pStyle w:val="BodyText2"/>
              <w:tabs>
                <w:tab w:val="clear" w:pos="720"/>
              </w:tabs>
              <w:jc w:val="both"/>
              <w:rPr>
                <w:rFonts w:asciiTheme="minorHAnsi" w:hAnsiTheme="minorHAnsi" w:cstheme="minorHAnsi"/>
                <w:iCs/>
                <w:sz w:val="24"/>
                <w:szCs w:val="24"/>
              </w:rPr>
            </w:pPr>
            <w:r w:rsidRPr="00D7684F">
              <w:rPr>
                <w:rFonts w:asciiTheme="minorHAnsi" w:hAnsiTheme="minorHAnsi" w:cstheme="minorHAnsi"/>
                <w:i/>
                <w:sz w:val="24"/>
                <w:szCs w:val="24"/>
              </w:rPr>
              <w:t>Informal training:</w:t>
            </w:r>
            <w:r w:rsidRPr="00D7684F">
              <w:rPr>
                <w:rFonts w:asciiTheme="minorHAnsi" w:hAnsiTheme="minorHAnsi" w:cstheme="minorHAnsi"/>
                <w:sz w:val="24"/>
                <w:szCs w:val="24"/>
              </w:rPr>
              <w:t xml:space="preserve"> </w:t>
            </w:r>
            <w:r w:rsidR="00E20404" w:rsidRPr="00D7684F">
              <w:rPr>
                <w:rFonts w:asciiTheme="minorHAnsi" w:hAnsiTheme="minorHAnsi" w:cstheme="minorHAnsi"/>
                <w:sz w:val="24"/>
                <w:szCs w:val="24"/>
              </w:rPr>
              <w:t>The student will be based in the Centre of Academic Primary Care (CAPC), at the University of Bristol, which is one of the largest centres for primary care research in the UK. The student will have opportunities to attend and present at CAPC meetings, attend School seminars, and meet with colleagues working in the wider medical school. They will have fortnightly supervision and will receive career advice, mentoring and support. They will be supported in submitting abstracts and attending relevant primary care conferences.</w:t>
            </w:r>
          </w:p>
        </w:tc>
      </w:tr>
      <w:tr w:rsidR="00EA7C68" w:rsidRPr="00E20404" w14:paraId="76FB9CFD" w14:textId="77777777" w:rsidTr="002A1B47">
        <w:tc>
          <w:tcPr>
            <w:cnfStyle w:val="001000000000" w:firstRow="0" w:lastRow="0" w:firstColumn="1" w:lastColumn="0" w:oddVBand="0" w:evenVBand="0" w:oddHBand="0" w:evenHBand="0" w:firstRowFirstColumn="0" w:firstRowLastColumn="0" w:lastRowFirstColumn="0" w:lastRowLastColumn="0"/>
            <w:tcW w:w="10343" w:type="dxa"/>
          </w:tcPr>
          <w:p w14:paraId="48977F4E" w14:textId="70B2D4BE" w:rsidR="00EA7C68" w:rsidRPr="00D7684F" w:rsidRDefault="00EA7C68" w:rsidP="00E20404">
            <w:pPr>
              <w:pStyle w:val="BodyText2"/>
              <w:tabs>
                <w:tab w:val="clear" w:pos="720"/>
              </w:tabs>
              <w:jc w:val="both"/>
              <w:rPr>
                <w:rFonts w:asciiTheme="minorHAnsi" w:hAnsiTheme="minorHAnsi" w:cstheme="minorHAnsi"/>
                <w:iCs/>
                <w:sz w:val="24"/>
                <w:szCs w:val="24"/>
              </w:rPr>
            </w:pPr>
            <w:r w:rsidRPr="00D7684F">
              <w:rPr>
                <w:rFonts w:asciiTheme="minorHAnsi" w:hAnsiTheme="minorHAnsi" w:cstheme="minorHAnsi"/>
                <w:i/>
                <w:sz w:val="24"/>
                <w:szCs w:val="24"/>
              </w:rPr>
              <w:t>PPIE</w:t>
            </w:r>
            <w:r w:rsidRPr="00D7684F">
              <w:rPr>
                <w:rFonts w:asciiTheme="minorHAnsi" w:hAnsiTheme="minorHAnsi" w:cstheme="minorHAnsi"/>
                <w:iCs/>
                <w:sz w:val="24"/>
                <w:szCs w:val="24"/>
              </w:rPr>
              <w:t xml:space="preserve">: </w:t>
            </w:r>
            <w:r w:rsidR="00E20404" w:rsidRPr="00D7684F">
              <w:rPr>
                <w:rFonts w:asciiTheme="minorHAnsi" w:hAnsiTheme="minorHAnsi" w:cstheme="minorHAnsi"/>
                <w:iCs/>
                <w:sz w:val="24"/>
                <w:szCs w:val="24"/>
              </w:rPr>
              <w:t>W</w:t>
            </w:r>
            <w:r w:rsidR="00E20404" w:rsidRPr="00D7684F">
              <w:rPr>
                <w:rFonts w:asciiTheme="minorHAnsi" w:hAnsiTheme="minorHAnsi" w:cstheme="minorHAnsi"/>
                <w:sz w:val="24"/>
                <w:szCs w:val="24"/>
              </w:rPr>
              <w:t>e will establish a PPIE group specifically for this study. Members will be invited to comment on each phase of the research, all patient-facing materials, and the content of topic guides. They will also be involved in analysis and interpretation of data, dissemination plans, and invited to co-present at conferences. The student will be supported by CAPC’s own PPIE advisor</w:t>
            </w:r>
            <w:r w:rsidR="00B61B44" w:rsidRPr="00D7684F">
              <w:rPr>
                <w:rFonts w:asciiTheme="minorHAnsi" w:hAnsiTheme="minorHAnsi" w:cstheme="minorHAnsi"/>
                <w:sz w:val="24"/>
                <w:szCs w:val="24"/>
              </w:rPr>
              <w:t>.</w:t>
            </w:r>
          </w:p>
        </w:tc>
      </w:tr>
    </w:tbl>
    <w:p w14:paraId="0C875D8F" w14:textId="77777777" w:rsidR="00E0356E" w:rsidRPr="00E20404" w:rsidRDefault="00E0356E" w:rsidP="00C07FA2">
      <w:pPr>
        <w:rPr>
          <w:rFonts w:asciiTheme="minorHAnsi" w:hAnsiTheme="minorHAnsi" w:cstheme="minorHAnsi"/>
          <w:szCs w:val="24"/>
        </w:rPr>
      </w:pPr>
    </w:p>
    <w:sectPr w:rsidR="00E0356E" w:rsidRPr="00E20404" w:rsidSect="00EA7C68">
      <w:headerReference w:type="default" r:id="rId11"/>
      <w:footerReference w:type="default" r:id="rId12"/>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A7B0" w14:textId="77777777" w:rsidR="003760F7" w:rsidRDefault="003760F7" w:rsidP="008A5DEB">
      <w:pPr>
        <w:spacing w:after="0" w:line="240" w:lineRule="auto"/>
      </w:pPr>
      <w:r>
        <w:separator/>
      </w:r>
    </w:p>
  </w:endnote>
  <w:endnote w:type="continuationSeparator" w:id="0">
    <w:p w14:paraId="5D248B9F" w14:textId="77777777" w:rsidR="003760F7" w:rsidRDefault="003760F7" w:rsidP="008A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B00D" w14:textId="53736325" w:rsidR="00FF6AEA" w:rsidRDefault="00FF6AEA">
    <w:pPr>
      <w:pStyle w:val="Footer"/>
    </w:pPr>
    <w:r>
      <w:t xml:space="preserve">Doctoral Training Programme for Primary Care Clinicians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ADEB" w14:textId="77777777" w:rsidR="003760F7" w:rsidRDefault="003760F7" w:rsidP="008A5DEB">
      <w:pPr>
        <w:spacing w:after="0" w:line="240" w:lineRule="auto"/>
      </w:pPr>
      <w:r>
        <w:separator/>
      </w:r>
    </w:p>
  </w:footnote>
  <w:footnote w:type="continuationSeparator" w:id="0">
    <w:p w14:paraId="0B4EF9C7" w14:textId="77777777" w:rsidR="003760F7" w:rsidRDefault="003760F7" w:rsidP="008A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953B" w14:textId="18668F63" w:rsidR="00FF6AEA" w:rsidRPr="00FF6AEA" w:rsidRDefault="00FF6AEA">
    <w:pPr>
      <w:pStyle w:val="Header"/>
      <w:rPr>
        <w:rFonts w:ascii="Calibri" w:hAnsi="Calibri" w:cs="Calibri"/>
      </w:rPr>
    </w:pPr>
    <w:r w:rsidRPr="00FF6AEA">
      <w:rPr>
        <w:rFonts w:ascii="Calibri" w:hAnsi="Calibri" w:cs="Calibri"/>
      </w:rPr>
      <w:t>October 202</w:t>
    </w:r>
    <w:r w:rsidR="00913671">
      <w:rPr>
        <w:rFonts w:ascii="Calibri" w:hAnsi="Calibri" w:cs="Calibri"/>
      </w:rPr>
      <w:t>4</w:t>
    </w:r>
    <w:r w:rsidRPr="00FF6AEA">
      <w:rPr>
        <w:rFonts w:ascii="Calibri" w:hAnsi="Calibri" w:cs="Calibri"/>
      </w:rPr>
      <w:t xml:space="preserve"> intake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721E"/>
    <w:multiLevelType w:val="hybridMultilevel"/>
    <w:tmpl w:val="8C1A5E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D653DD"/>
    <w:multiLevelType w:val="hybridMultilevel"/>
    <w:tmpl w:val="F3E4F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3375E"/>
    <w:multiLevelType w:val="hybridMultilevel"/>
    <w:tmpl w:val="209ECB38"/>
    <w:lvl w:ilvl="0" w:tplc="3F423F8A">
      <w:start w:val="1"/>
      <w:numFmt w:val="lowerRoman"/>
      <w:lvlText w:val="(%1)"/>
      <w:lvlJc w:val="left"/>
      <w:pPr>
        <w:ind w:left="-56" w:hanging="720"/>
      </w:pPr>
      <w:rPr>
        <w:rFonts w:hint="default"/>
      </w:rPr>
    </w:lvl>
    <w:lvl w:ilvl="1" w:tplc="08090019" w:tentative="1">
      <w:start w:val="1"/>
      <w:numFmt w:val="lowerLetter"/>
      <w:lvlText w:val="%2."/>
      <w:lvlJc w:val="left"/>
      <w:pPr>
        <w:ind w:left="304" w:hanging="360"/>
      </w:pPr>
    </w:lvl>
    <w:lvl w:ilvl="2" w:tplc="0809001B" w:tentative="1">
      <w:start w:val="1"/>
      <w:numFmt w:val="lowerRoman"/>
      <w:lvlText w:val="%3."/>
      <w:lvlJc w:val="right"/>
      <w:pPr>
        <w:ind w:left="1024" w:hanging="180"/>
      </w:pPr>
    </w:lvl>
    <w:lvl w:ilvl="3" w:tplc="0809000F" w:tentative="1">
      <w:start w:val="1"/>
      <w:numFmt w:val="decimal"/>
      <w:lvlText w:val="%4."/>
      <w:lvlJc w:val="left"/>
      <w:pPr>
        <w:ind w:left="1744" w:hanging="360"/>
      </w:pPr>
    </w:lvl>
    <w:lvl w:ilvl="4" w:tplc="08090019" w:tentative="1">
      <w:start w:val="1"/>
      <w:numFmt w:val="lowerLetter"/>
      <w:lvlText w:val="%5."/>
      <w:lvlJc w:val="left"/>
      <w:pPr>
        <w:ind w:left="2464" w:hanging="360"/>
      </w:pPr>
    </w:lvl>
    <w:lvl w:ilvl="5" w:tplc="0809001B" w:tentative="1">
      <w:start w:val="1"/>
      <w:numFmt w:val="lowerRoman"/>
      <w:lvlText w:val="%6."/>
      <w:lvlJc w:val="right"/>
      <w:pPr>
        <w:ind w:left="3184" w:hanging="180"/>
      </w:pPr>
    </w:lvl>
    <w:lvl w:ilvl="6" w:tplc="0809000F" w:tentative="1">
      <w:start w:val="1"/>
      <w:numFmt w:val="decimal"/>
      <w:lvlText w:val="%7."/>
      <w:lvlJc w:val="left"/>
      <w:pPr>
        <w:ind w:left="3904" w:hanging="360"/>
      </w:pPr>
    </w:lvl>
    <w:lvl w:ilvl="7" w:tplc="08090019" w:tentative="1">
      <w:start w:val="1"/>
      <w:numFmt w:val="lowerLetter"/>
      <w:lvlText w:val="%8."/>
      <w:lvlJc w:val="left"/>
      <w:pPr>
        <w:ind w:left="4624" w:hanging="360"/>
      </w:pPr>
    </w:lvl>
    <w:lvl w:ilvl="8" w:tplc="0809001B" w:tentative="1">
      <w:start w:val="1"/>
      <w:numFmt w:val="lowerRoman"/>
      <w:lvlText w:val="%9."/>
      <w:lvlJc w:val="right"/>
      <w:pPr>
        <w:ind w:left="5344" w:hanging="180"/>
      </w:pPr>
    </w:lvl>
  </w:abstractNum>
  <w:abstractNum w:abstractNumId="3" w15:restartNumberingAfterBreak="0">
    <w:nsid w:val="6F8224FF"/>
    <w:multiLevelType w:val="hybridMultilevel"/>
    <w:tmpl w:val="8430C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96F65D4"/>
    <w:multiLevelType w:val="hybridMultilevel"/>
    <w:tmpl w:val="9E10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8155668">
    <w:abstractNumId w:val="3"/>
  </w:num>
  <w:num w:numId="2" w16cid:durableId="1742412157">
    <w:abstractNumId w:val="2"/>
  </w:num>
  <w:num w:numId="3" w16cid:durableId="840050803">
    <w:abstractNumId w:val="4"/>
  </w:num>
  <w:num w:numId="4" w16cid:durableId="1345475351">
    <w:abstractNumId w:val="1"/>
  </w:num>
  <w:num w:numId="5" w16cid:durableId="109517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56E"/>
    <w:rsid w:val="00026DA0"/>
    <w:rsid w:val="00071DC2"/>
    <w:rsid w:val="0009232A"/>
    <w:rsid w:val="0009688E"/>
    <w:rsid w:val="000B7F1F"/>
    <w:rsid w:val="000D55BF"/>
    <w:rsid w:val="000D55F7"/>
    <w:rsid w:val="00124198"/>
    <w:rsid w:val="00140508"/>
    <w:rsid w:val="00180A1A"/>
    <w:rsid w:val="001866E9"/>
    <w:rsid w:val="001D693B"/>
    <w:rsid w:val="001E0940"/>
    <w:rsid w:val="00220D1C"/>
    <w:rsid w:val="002304B1"/>
    <w:rsid w:val="00244693"/>
    <w:rsid w:val="00274ACB"/>
    <w:rsid w:val="002A1B47"/>
    <w:rsid w:val="002B0282"/>
    <w:rsid w:val="002E517D"/>
    <w:rsid w:val="002F31FE"/>
    <w:rsid w:val="00323521"/>
    <w:rsid w:val="00336555"/>
    <w:rsid w:val="00362B4E"/>
    <w:rsid w:val="003760F7"/>
    <w:rsid w:val="0047180B"/>
    <w:rsid w:val="0047474B"/>
    <w:rsid w:val="00482658"/>
    <w:rsid w:val="004B6725"/>
    <w:rsid w:val="004C1191"/>
    <w:rsid w:val="004E3BC1"/>
    <w:rsid w:val="005053DF"/>
    <w:rsid w:val="00515545"/>
    <w:rsid w:val="00515863"/>
    <w:rsid w:val="00531E4D"/>
    <w:rsid w:val="00540F80"/>
    <w:rsid w:val="00587E36"/>
    <w:rsid w:val="005B49E8"/>
    <w:rsid w:val="005C15ED"/>
    <w:rsid w:val="005C4CA2"/>
    <w:rsid w:val="005C7BA0"/>
    <w:rsid w:val="005F1146"/>
    <w:rsid w:val="005F7315"/>
    <w:rsid w:val="00630148"/>
    <w:rsid w:val="006C6926"/>
    <w:rsid w:val="006F719E"/>
    <w:rsid w:val="00703D6A"/>
    <w:rsid w:val="00713AE1"/>
    <w:rsid w:val="00737E94"/>
    <w:rsid w:val="00737F96"/>
    <w:rsid w:val="00741777"/>
    <w:rsid w:val="00741D92"/>
    <w:rsid w:val="00744D9E"/>
    <w:rsid w:val="00747A0E"/>
    <w:rsid w:val="0075747A"/>
    <w:rsid w:val="007769D2"/>
    <w:rsid w:val="00787EF3"/>
    <w:rsid w:val="007B2596"/>
    <w:rsid w:val="007E11EC"/>
    <w:rsid w:val="008245A9"/>
    <w:rsid w:val="0082712F"/>
    <w:rsid w:val="008410F0"/>
    <w:rsid w:val="008448FF"/>
    <w:rsid w:val="00852F2F"/>
    <w:rsid w:val="00855023"/>
    <w:rsid w:val="00873A17"/>
    <w:rsid w:val="008748FD"/>
    <w:rsid w:val="00895F21"/>
    <w:rsid w:val="008A2C2E"/>
    <w:rsid w:val="008A5DEB"/>
    <w:rsid w:val="008B2CD4"/>
    <w:rsid w:val="008F66D0"/>
    <w:rsid w:val="009048D1"/>
    <w:rsid w:val="00913671"/>
    <w:rsid w:val="00915498"/>
    <w:rsid w:val="00927699"/>
    <w:rsid w:val="00937477"/>
    <w:rsid w:val="00956790"/>
    <w:rsid w:val="0095795B"/>
    <w:rsid w:val="009A59ED"/>
    <w:rsid w:val="009A63D4"/>
    <w:rsid w:val="009C4BA9"/>
    <w:rsid w:val="009D734F"/>
    <w:rsid w:val="009F24DA"/>
    <w:rsid w:val="009F78EF"/>
    <w:rsid w:val="00A16F3D"/>
    <w:rsid w:val="00A23D70"/>
    <w:rsid w:val="00A87625"/>
    <w:rsid w:val="00AA2D17"/>
    <w:rsid w:val="00AC5D34"/>
    <w:rsid w:val="00AC69F6"/>
    <w:rsid w:val="00B22CB1"/>
    <w:rsid w:val="00B307D0"/>
    <w:rsid w:val="00B32C43"/>
    <w:rsid w:val="00B61B44"/>
    <w:rsid w:val="00B6610D"/>
    <w:rsid w:val="00BE4A79"/>
    <w:rsid w:val="00C07FA2"/>
    <w:rsid w:val="00C20B6D"/>
    <w:rsid w:val="00C258FF"/>
    <w:rsid w:val="00C27AF5"/>
    <w:rsid w:val="00C5012C"/>
    <w:rsid w:val="00C61C47"/>
    <w:rsid w:val="00C6532A"/>
    <w:rsid w:val="00C971CE"/>
    <w:rsid w:val="00CD249B"/>
    <w:rsid w:val="00D60AB7"/>
    <w:rsid w:val="00D7684F"/>
    <w:rsid w:val="00D863E1"/>
    <w:rsid w:val="00DB5AB9"/>
    <w:rsid w:val="00DC295E"/>
    <w:rsid w:val="00DC30E2"/>
    <w:rsid w:val="00DD21ED"/>
    <w:rsid w:val="00DD4BC9"/>
    <w:rsid w:val="00DE64A4"/>
    <w:rsid w:val="00E0356E"/>
    <w:rsid w:val="00E10084"/>
    <w:rsid w:val="00E20404"/>
    <w:rsid w:val="00E72B42"/>
    <w:rsid w:val="00EA7C68"/>
    <w:rsid w:val="00EC6D60"/>
    <w:rsid w:val="00ED3CFA"/>
    <w:rsid w:val="00EE4F53"/>
    <w:rsid w:val="00EE7184"/>
    <w:rsid w:val="00EF0212"/>
    <w:rsid w:val="00F36BC7"/>
    <w:rsid w:val="00FA7566"/>
    <w:rsid w:val="00FD1523"/>
    <w:rsid w:val="00FE3ED6"/>
    <w:rsid w:val="00FF6A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CBD6"/>
  <w15:docId w15:val="{F955EE96-C271-4258-87A6-30EE79DAB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Arial"/>
        <w:sz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241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3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51">
    <w:name w:val="Grid Table 6 Colorful - Accent 51"/>
    <w:basedOn w:val="TableNormal"/>
    <w:uiPriority w:val="51"/>
    <w:rsid w:val="00540F80"/>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FootnoteText">
    <w:name w:val="footnote text"/>
    <w:basedOn w:val="Normal"/>
    <w:link w:val="FootnoteTextChar"/>
    <w:uiPriority w:val="99"/>
    <w:semiHidden/>
    <w:unhideWhenUsed/>
    <w:rsid w:val="008A5DEB"/>
    <w:pPr>
      <w:spacing w:after="0" w:line="240" w:lineRule="auto"/>
    </w:pPr>
    <w:rPr>
      <w:rFonts w:ascii="Arial" w:eastAsia="Times New Roman" w:hAnsi="Arial" w:cs="Times New Roman"/>
      <w:sz w:val="20"/>
      <w:lang w:eastAsia="en-GB"/>
    </w:rPr>
  </w:style>
  <w:style w:type="character" w:customStyle="1" w:styleId="FootnoteTextChar">
    <w:name w:val="Footnote Text Char"/>
    <w:basedOn w:val="DefaultParagraphFont"/>
    <w:link w:val="FootnoteText"/>
    <w:uiPriority w:val="99"/>
    <w:semiHidden/>
    <w:rsid w:val="008A5DEB"/>
    <w:rPr>
      <w:rFonts w:ascii="Arial" w:eastAsia="Times New Roman" w:hAnsi="Arial" w:cs="Times New Roman"/>
      <w:sz w:val="20"/>
      <w:lang w:eastAsia="en-GB"/>
    </w:rPr>
  </w:style>
  <w:style w:type="character" w:styleId="FootnoteReference">
    <w:name w:val="footnote reference"/>
    <w:basedOn w:val="DefaultParagraphFont"/>
    <w:uiPriority w:val="99"/>
    <w:semiHidden/>
    <w:unhideWhenUsed/>
    <w:rsid w:val="008A5DEB"/>
    <w:rPr>
      <w:vertAlign w:val="superscript"/>
    </w:rPr>
  </w:style>
  <w:style w:type="paragraph" w:styleId="ListParagraph">
    <w:name w:val="List Paragraph"/>
    <w:basedOn w:val="Normal"/>
    <w:uiPriority w:val="34"/>
    <w:qFormat/>
    <w:rsid w:val="00C258FF"/>
    <w:pPr>
      <w:ind w:left="720"/>
      <w:contextualSpacing/>
    </w:pPr>
  </w:style>
  <w:style w:type="paragraph" w:styleId="NormalWeb">
    <w:name w:val="Normal (Web)"/>
    <w:basedOn w:val="Normal"/>
    <w:link w:val="NormalWebChar"/>
    <w:uiPriority w:val="99"/>
    <w:unhideWhenUsed/>
    <w:rsid w:val="002B028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WebChar">
    <w:name w:val="Normal (Web) Char"/>
    <w:basedOn w:val="DefaultParagraphFont"/>
    <w:link w:val="NormalWeb"/>
    <w:uiPriority w:val="99"/>
    <w:rsid w:val="002B0282"/>
    <w:rPr>
      <w:rFonts w:ascii="Times New Roman" w:eastAsia="Times New Roman" w:hAnsi="Times New Roman" w:cs="Times New Roman"/>
      <w:szCs w:val="24"/>
      <w:lang w:eastAsia="en-GB"/>
    </w:rPr>
  </w:style>
  <w:style w:type="paragraph" w:styleId="BodyText2">
    <w:name w:val="Body Text 2"/>
    <w:basedOn w:val="Normal"/>
    <w:link w:val="BodyText2Char"/>
    <w:unhideWhenUsed/>
    <w:rsid w:val="002B0282"/>
    <w:pPr>
      <w:tabs>
        <w:tab w:val="left" w:pos="-356"/>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pPr>
    <w:rPr>
      <w:rFonts w:ascii="Times New Roman" w:eastAsia="Times New Roman" w:hAnsi="Times New Roman" w:cs="Times New Roman"/>
      <w:b/>
      <w:sz w:val="22"/>
    </w:rPr>
  </w:style>
  <w:style w:type="character" w:customStyle="1" w:styleId="BodyText2Char">
    <w:name w:val="Body Text 2 Char"/>
    <w:basedOn w:val="DefaultParagraphFont"/>
    <w:link w:val="BodyText2"/>
    <w:rsid w:val="002B0282"/>
    <w:rPr>
      <w:rFonts w:ascii="Times New Roman" w:eastAsia="Times New Roman" w:hAnsi="Times New Roman" w:cs="Times New Roman"/>
      <w:b/>
      <w:sz w:val="22"/>
    </w:rPr>
  </w:style>
  <w:style w:type="table" w:customStyle="1" w:styleId="GridTable1Light-Accent11">
    <w:name w:val="Grid Table 1 Light - Accent 11"/>
    <w:basedOn w:val="TableNormal"/>
    <w:uiPriority w:val="46"/>
    <w:rsid w:val="0032352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F6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AEA"/>
  </w:style>
  <w:style w:type="paragraph" w:styleId="Footer">
    <w:name w:val="footer"/>
    <w:basedOn w:val="Normal"/>
    <w:link w:val="FooterChar"/>
    <w:uiPriority w:val="99"/>
    <w:unhideWhenUsed/>
    <w:rsid w:val="00FF6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AEA"/>
  </w:style>
  <w:style w:type="character" w:styleId="PlaceholderText">
    <w:name w:val="Placeholder Text"/>
    <w:basedOn w:val="DefaultParagraphFont"/>
    <w:uiPriority w:val="99"/>
    <w:semiHidden/>
    <w:rsid w:val="002F31FE"/>
    <w:rPr>
      <w:color w:val="808080"/>
    </w:rPr>
  </w:style>
  <w:style w:type="character" w:customStyle="1" w:styleId="Heading1Char">
    <w:name w:val="Heading 1 Char"/>
    <w:basedOn w:val="DefaultParagraphFont"/>
    <w:link w:val="Heading1"/>
    <w:uiPriority w:val="9"/>
    <w:rsid w:val="00124198"/>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A23D70"/>
    <w:rPr>
      <w:color w:val="0563C1" w:themeColor="hyperlink"/>
      <w:u w:val="single"/>
    </w:rPr>
  </w:style>
  <w:style w:type="character" w:styleId="UnresolvedMention">
    <w:name w:val="Unresolved Mention"/>
    <w:basedOn w:val="DefaultParagraphFont"/>
    <w:uiPriority w:val="99"/>
    <w:semiHidden/>
    <w:unhideWhenUsed/>
    <w:rsid w:val="00A23D70"/>
    <w:rPr>
      <w:color w:val="605E5C"/>
      <w:shd w:val="clear" w:color="auto" w:fill="E1DFDD"/>
    </w:rPr>
  </w:style>
  <w:style w:type="character" w:styleId="CommentReference">
    <w:name w:val="annotation reference"/>
    <w:basedOn w:val="DefaultParagraphFont"/>
    <w:uiPriority w:val="99"/>
    <w:semiHidden/>
    <w:unhideWhenUsed/>
    <w:rsid w:val="00336555"/>
    <w:rPr>
      <w:sz w:val="16"/>
      <w:szCs w:val="16"/>
    </w:rPr>
  </w:style>
  <w:style w:type="paragraph" w:styleId="CommentText">
    <w:name w:val="annotation text"/>
    <w:basedOn w:val="Normal"/>
    <w:link w:val="CommentTextChar"/>
    <w:uiPriority w:val="99"/>
    <w:semiHidden/>
    <w:unhideWhenUsed/>
    <w:rsid w:val="00336555"/>
    <w:pPr>
      <w:spacing w:line="240" w:lineRule="auto"/>
    </w:pPr>
    <w:rPr>
      <w:sz w:val="20"/>
    </w:rPr>
  </w:style>
  <w:style w:type="character" w:customStyle="1" w:styleId="CommentTextChar">
    <w:name w:val="Comment Text Char"/>
    <w:basedOn w:val="DefaultParagraphFont"/>
    <w:link w:val="CommentText"/>
    <w:uiPriority w:val="99"/>
    <w:semiHidden/>
    <w:rsid w:val="00336555"/>
    <w:rPr>
      <w:sz w:val="20"/>
    </w:rPr>
  </w:style>
  <w:style w:type="paragraph" w:styleId="CommentSubject">
    <w:name w:val="annotation subject"/>
    <w:basedOn w:val="CommentText"/>
    <w:next w:val="CommentText"/>
    <w:link w:val="CommentSubjectChar"/>
    <w:uiPriority w:val="99"/>
    <w:semiHidden/>
    <w:unhideWhenUsed/>
    <w:rsid w:val="00336555"/>
    <w:rPr>
      <w:b/>
      <w:bCs/>
    </w:rPr>
  </w:style>
  <w:style w:type="character" w:customStyle="1" w:styleId="CommentSubjectChar">
    <w:name w:val="Comment Subject Char"/>
    <w:basedOn w:val="CommentTextChar"/>
    <w:link w:val="CommentSubject"/>
    <w:uiPriority w:val="99"/>
    <w:semiHidden/>
    <w:rsid w:val="00336555"/>
    <w:rPr>
      <w:b/>
      <w:bCs/>
      <w:sz w:val="20"/>
    </w:rPr>
  </w:style>
  <w:style w:type="paragraph" w:styleId="BalloonText">
    <w:name w:val="Balloon Text"/>
    <w:basedOn w:val="Normal"/>
    <w:link w:val="BalloonTextChar"/>
    <w:uiPriority w:val="99"/>
    <w:semiHidden/>
    <w:unhideWhenUsed/>
    <w:rsid w:val="0033655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6555"/>
    <w:rPr>
      <w:rFonts w:ascii="Times New Roman" w:hAnsi="Times New Roman" w:cs="Times New Roman"/>
      <w:sz w:val="18"/>
      <w:szCs w:val="18"/>
    </w:rPr>
  </w:style>
  <w:style w:type="paragraph" w:styleId="Revision">
    <w:name w:val="Revision"/>
    <w:hidden/>
    <w:uiPriority w:val="99"/>
    <w:semiHidden/>
    <w:rsid w:val="00BE4A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8426">
      <w:bodyDiv w:val="1"/>
      <w:marLeft w:val="0"/>
      <w:marRight w:val="0"/>
      <w:marTop w:val="0"/>
      <w:marBottom w:val="0"/>
      <w:divBdr>
        <w:top w:val="none" w:sz="0" w:space="0" w:color="auto"/>
        <w:left w:val="none" w:sz="0" w:space="0" w:color="auto"/>
        <w:bottom w:val="none" w:sz="0" w:space="0" w:color="auto"/>
        <w:right w:val="none" w:sz="0" w:space="0" w:color="auto"/>
      </w:divBdr>
    </w:div>
    <w:div w:id="146056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FA2247D3034A4B95677780CBA96BF9"/>
        <w:category>
          <w:name w:val="General"/>
          <w:gallery w:val="placeholder"/>
        </w:category>
        <w:types>
          <w:type w:val="bbPlcHdr"/>
        </w:types>
        <w:behaviors>
          <w:behavior w:val="content"/>
        </w:behaviors>
        <w:guid w:val="{54FBB3A0-4B94-4FF5-A8AF-E26C41DF88F6}"/>
      </w:docPartPr>
      <w:docPartBody>
        <w:p w:rsidR="00607F77" w:rsidRDefault="009B098C" w:rsidP="009B098C">
          <w:pPr>
            <w:pStyle w:val="A8FA2247D3034A4B95677780CBA96BF9"/>
          </w:pPr>
          <w:r w:rsidRPr="00786A1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8C"/>
    <w:rsid w:val="000C3C46"/>
    <w:rsid w:val="002D5D4E"/>
    <w:rsid w:val="002F3C45"/>
    <w:rsid w:val="003E2CE9"/>
    <w:rsid w:val="005E6D53"/>
    <w:rsid w:val="005F1D88"/>
    <w:rsid w:val="00607F77"/>
    <w:rsid w:val="009213BD"/>
    <w:rsid w:val="009B098C"/>
    <w:rsid w:val="00CC5D3D"/>
    <w:rsid w:val="00D639B8"/>
    <w:rsid w:val="00E469B2"/>
    <w:rsid w:val="00FE5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098C"/>
    <w:rPr>
      <w:color w:val="808080"/>
    </w:rPr>
  </w:style>
  <w:style w:type="paragraph" w:customStyle="1" w:styleId="A8FA2247D3034A4B95677780CBA96BF9">
    <w:name w:val="A8FA2247D3034A4B95677780CBA96BF9"/>
    <w:rsid w:val="009B098C"/>
    <w:rPr>
      <w:rFonts w:ascii="Corbel" w:eastAsiaTheme="minorHAnsi" w:hAnsi="Corbel" w:cs="Arial"/>
      <w:sz w:val="24"/>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62cc32-f902-475d-a4cf-c397431ce64f" xsi:nil="true"/>
    <Notes xmlns="cd9570d7-6d3c-408b-a3fc-485599f6110e" xsi:nil="true"/>
    <lcf76f155ced4ddcb4097134ff3c332f xmlns="cd9570d7-6d3c-408b-a3fc-485599f6110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3F8622B4F0A734A849D0703B762E393" ma:contentTypeVersion="19" ma:contentTypeDescription="Create a new document." ma:contentTypeScope="" ma:versionID="b4496c9598b12bff07221c603ea40fc8">
  <xsd:schema xmlns:xsd="http://www.w3.org/2001/XMLSchema" xmlns:xs="http://www.w3.org/2001/XMLSchema" xmlns:p="http://schemas.microsoft.com/office/2006/metadata/properties" xmlns:ns2="cd9570d7-6d3c-408b-a3fc-485599f6110e" xmlns:ns3="7762cc32-f902-475d-a4cf-c397431ce64f" targetNamespace="http://schemas.microsoft.com/office/2006/metadata/properties" ma:root="true" ma:fieldsID="29f02363e235355ff32342fe1b865e08" ns2:_="" ns3:_="">
    <xsd:import namespace="cd9570d7-6d3c-408b-a3fc-485599f6110e"/>
    <xsd:import namespace="7762cc32-f902-475d-a4cf-c397431ce64f"/>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570d7-6d3c-408b-a3fc-485599f6110e" elementFormDefault="qualified">
    <xsd:import namespace="http://schemas.microsoft.com/office/2006/documentManagement/types"/>
    <xsd:import namespace="http://schemas.microsoft.com/office/infopath/2007/PartnerControls"/>
    <xsd:element name="Notes" ma:index="2" nillable="true" ma:displayName="Notes" ma:format="Dropdown" ma:internalName="Notes"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MediaServiceLocation" ma:index="18"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62cc32-f902-475d-a4cf-c397431ce64f" elementFormDefault="qualified">
    <xsd:import namespace="http://schemas.microsoft.com/office/2006/documentManagement/types"/>
    <xsd:import namespace="http://schemas.microsoft.com/office/infopath/2007/PartnerControls"/>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e3a78b1b-f3fa-4455-b855-78cc7c591b65}" ma:internalName="TaxCatchAll" ma:showField="CatchAllData" ma:web="7762cc32-f902-475d-a4cf-c397431ce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1BDC16-A2A0-4632-B898-DD13166BBFAF}">
  <ds:schemaRefs>
    <ds:schemaRef ds:uri="http://schemas.microsoft.com/sharepoint/v3/contenttype/forms"/>
  </ds:schemaRefs>
</ds:datastoreItem>
</file>

<file path=customXml/itemProps2.xml><?xml version="1.0" encoding="utf-8"?>
<ds:datastoreItem xmlns:ds="http://schemas.openxmlformats.org/officeDocument/2006/customXml" ds:itemID="{CBB4BDB2-EADA-4017-B4A5-416FE188BB48}">
  <ds:schemaRefs>
    <ds:schemaRef ds:uri="http://schemas.microsoft.com/office/2006/metadata/properties"/>
    <ds:schemaRef ds:uri="http://schemas.microsoft.com/office/infopath/2007/PartnerControls"/>
    <ds:schemaRef ds:uri="7762cc32-f902-475d-a4cf-c397431ce64f"/>
    <ds:schemaRef ds:uri="cd9570d7-6d3c-408b-a3fc-485599f6110e"/>
  </ds:schemaRefs>
</ds:datastoreItem>
</file>

<file path=customXml/itemProps3.xml><?xml version="1.0" encoding="utf-8"?>
<ds:datastoreItem xmlns:ds="http://schemas.openxmlformats.org/officeDocument/2006/customXml" ds:itemID="{599243C5-3EE6-974D-A870-B225F035527E}">
  <ds:schemaRefs>
    <ds:schemaRef ds:uri="http://schemas.openxmlformats.org/officeDocument/2006/bibliography"/>
  </ds:schemaRefs>
</ds:datastoreItem>
</file>

<file path=customXml/itemProps4.xml><?xml version="1.0" encoding="utf-8"?>
<ds:datastoreItem xmlns:ds="http://schemas.openxmlformats.org/officeDocument/2006/customXml" ds:itemID="{BFBC7B06-778F-4CC2-81E0-61C8B9FC3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570d7-6d3c-408b-a3fc-485599f6110e"/>
    <ds:schemaRef ds:uri="7762cc32-f902-475d-a4cf-c397431ce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1168</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Primary Care Sciences</Company>
  <LinksUpToDate>false</LinksUpToDate>
  <CharactersWithSpaces>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pra79</dc:creator>
  <cp:lastModifiedBy>Katrina Turner</cp:lastModifiedBy>
  <cp:revision>3</cp:revision>
  <cp:lastPrinted>2022-01-11T06:49:00Z</cp:lastPrinted>
  <dcterms:created xsi:type="dcterms:W3CDTF">2023-10-02T09:16:00Z</dcterms:created>
  <dcterms:modified xsi:type="dcterms:W3CDTF">2023-10-02T09:36:00Z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0x010100A3F8622B4F0A734A849D0703B762E393</vt:lpwstr>
  </property>
</Properties>
</file>