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5171"/>
        <w:gridCol w:w="5172"/>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D6AB031" w14:textId="6A1F872A"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11A18" w:rsidRPr="00011A18">
                  <w:rPr>
                    <w:rFonts w:asciiTheme="minorHAnsi" w:hAnsiTheme="minorHAnsi"/>
                    <w:b w:val="0"/>
                    <w:bCs w:val="0"/>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88EA43" w14:textId="42502E52"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011A18">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173F29A" w14:textId="20902C78" w:rsidR="00220D1C" w:rsidRPr="00D8366F" w:rsidRDefault="00922E15" w:rsidP="00220D1C">
            <w:pPr>
              <w:spacing w:after="120"/>
              <w:rPr>
                <w:rFonts w:asciiTheme="minorHAnsi" w:hAnsiTheme="minorHAnsi"/>
                <w:b w:val="0"/>
                <w:bCs w:val="0"/>
                <w:szCs w:val="24"/>
              </w:rPr>
            </w:pPr>
            <w:r>
              <w:rPr>
                <w:rFonts w:asciiTheme="minorHAnsi" w:hAnsiTheme="minorHAnsi"/>
                <w:b w:val="0"/>
                <w:bCs w:val="0"/>
                <w:sz w:val="22"/>
                <w:szCs w:val="22"/>
              </w:rPr>
              <w:t>Artificial Intelligence</w:t>
            </w:r>
            <w:r w:rsidR="00A95FCB">
              <w:rPr>
                <w:rFonts w:asciiTheme="minorHAnsi" w:hAnsiTheme="minorHAnsi"/>
                <w:b w:val="0"/>
                <w:bCs w:val="0"/>
                <w:sz w:val="22"/>
                <w:szCs w:val="22"/>
              </w:rPr>
              <w:t xml:space="preserve"> triage</w:t>
            </w:r>
            <w:r>
              <w:rPr>
                <w:rFonts w:asciiTheme="minorHAnsi" w:hAnsiTheme="minorHAnsi"/>
                <w:b w:val="0"/>
                <w:bCs w:val="0"/>
                <w:sz w:val="22"/>
                <w:szCs w:val="22"/>
              </w:rPr>
              <w:t xml:space="preserve"> in online consultations</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082F17B" w14:textId="4AE5A629" w:rsidR="00C87565" w:rsidRPr="00C87565" w:rsidRDefault="00C87565" w:rsidP="00C87565">
            <w:pPr>
              <w:ind w:left="35"/>
              <w:rPr>
                <w:rFonts w:asciiTheme="minorHAnsi" w:hAnsiTheme="minorHAnsi" w:cstheme="minorHAnsi"/>
              </w:rPr>
            </w:pPr>
            <w:r w:rsidRPr="00C87565">
              <w:rPr>
                <w:rFonts w:asciiTheme="minorHAnsi" w:hAnsiTheme="minorHAnsi" w:cstheme="minorHAnsi"/>
              </w:rPr>
              <w:t xml:space="preserve">Primary supervisor </w:t>
            </w:r>
            <w:r w:rsidRPr="00C87565">
              <w:rPr>
                <w:rFonts w:asciiTheme="minorHAnsi" w:hAnsiTheme="minorHAnsi" w:cstheme="minorHAnsi"/>
                <w:b w:val="0"/>
                <w:bCs w:val="0"/>
              </w:rPr>
              <w:t xml:space="preserve">– Dr Ben Brown, </w:t>
            </w:r>
            <w:proofErr w:type="gramStart"/>
            <w:r w:rsidRPr="00C87565">
              <w:rPr>
                <w:rFonts w:asciiTheme="minorHAnsi" w:hAnsiTheme="minorHAnsi" w:cstheme="minorHAnsi"/>
                <w:b w:val="0"/>
                <w:bCs w:val="0"/>
              </w:rPr>
              <w:t>GP</w:t>
            </w:r>
            <w:proofErr w:type="gramEnd"/>
            <w:r w:rsidRPr="00C87565">
              <w:rPr>
                <w:rFonts w:asciiTheme="minorHAnsi" w:hAnsiTheme="minorHAnsi" w:cstheme="minorHAnsi"/>
                <w:b w:val="0"/>
                <w:bCs w:val="0"/>
              </w:rPr>
              <w:t xml:space="preserve"> and Clinical Senior Lecturer (Manchester)</w:t>
            </w:r>
          </w:p>
          <w:p w14:paraId="78337111" w14:textId="77777777" w:rsidR="004D3079" w:rsidRDefault="004D3079" w:rsidP="00011A18">
            <w:pPr>
              <w:ind w:left="35"/>
              <w:rPr>
                <w:rFonts w:asciiTheme="minorHAnsi" w:hAnsiTheme="minorHAnsi" w:cstheme="minorHAnsi"/>
                <w:b w:val="0"/>
                <w:bCs w:val="0"/>
              </w:rPr>
            </w:pPr>
          </w:p>
          <w:p w14:paraId="3C275BEF" w14:textId="1D198C98" w:rsidR="000D55F7" w:rsidRPr="00C87565" w:rsidRDefault="00C87565" w:rsidP="00011A18">
            <w:pPr>
              <w:ind w:left="35"/>
              <w:rPr>
                <w:rFonts w:asciiTheme="minorHAnsi" w:hAnsiTheme="minorHAnsi" w:cstheme="minorHAnsi"/>
                <w:b w:val="0"/>
                <w:bCs w:val="0"/>
                <w:color w:val="FF0000"/>
                <w:szCs w:val="24"/>
              </w:rPr>
            </w:pPr>
            <w:r>
              <w:rPr>
                <w:rFonts w:asciiTheme="minorHAnsi" w:hAnsiTheme="minorHAnsi" w:cstheme="minorHAnsi"/>
              </w:rPr>
              <w:t>Secondary supervisor</w:t>
            </w:r>
            <w:r w:rsidR="004D3079">
              <w:rPr>
                <w:rFonts w:asciiTheme="minorHAnsi" w:hAnsiTheme="minorHAnsi" w:cstheme="minorHAnsi"/>
              </w:rPr>
              <w:t>s</w:t>
            </w:r>
          </w:p>
          <w:p w14:paraId="0F3FB273" w14:textId="671DB72D" w:rsidR="00922E15" w:rsidRPr="00C87565" w:rsidRDefault="00922E15" w:rsidP="00011A18">
            <w:pPr>
              <w:pStyle w:val="ListParagraph"/>
              <w:ind w:left="35"/>
              <w:rPr>
                <w:rFonts w:asciiTheme="minorHAnsi" w:hAnsiTheme="minorHAnsi" w:cstheme="minorHAnsi"/>
                <w:sz w:val="22"/>
                <w:szCs w:val="22"/>
              </w:rPr>
            </w:pPr>
            <w:r w:rsidRPr="00C87565">
              <w:rPr>
                <w:rFonts w:asciiTheme="minorHAnsi" w:hAnsiTheme="minorHAnsi" w:cstheme="minorHAnsi"/>
                <w:b w:val="0"/>
                <w:bCs w:val="0"/>
                <w:sz w:val="22"/>
                <w:szCs w:val="22"/>
              </w:rPr>
              <w:t xml:space="preserve">Dr </w:t>
            </w:r>
            <w:proofErr w:type="spellStart"/>
            <w:r w:rsidRPr="00C87565">
              <w:rPr>
                <w:rFonts w:asciiTheme="minorHAnsi" w:hAnsiTheme="minorHAnsi" w:cstheme="minorHAnsi"/>
                <w:b w:val="0"/>
                <w:bCs w:val="0"/>
                <w:sz w:val="22"/>
                <w:szCs w:val="22"/>
              </w:rPr>
              <w:t>Sudeh</w:t>
            </w:r>
            <w:proofErr w:type="spellEnd"/>
            <w:r w:rsidRPr="00C87565">
              <w:rPr>
                <w:rFonts w:asciiTheme="minorHAnsi" w:hAnsiTheme="minorHAnsi" w:cstheme="minorHAnsi"/>
                <w:b w:val="0"/>
                <w:bCs w:val="0"/>
                <w:sz w:val="22"/>
                <w:szCs w:val="22"/>
              </w:rPr>
              <w:t xml:space="preserve"> </w:t>
            </w:r>
            <w:proofErr w:type="spellStart"/>
            <w:r w:rsidRPr="00C87565">
              <w:rPr>
                <w:rFonts w:asciiTheme="minorHAnsi" w:hAnsiTheme="minorHAnsi" w:cstheme="minorHAnsi"/>
                <w:b w:val="0"/>
                <w:bCs w:val="0"/>
                <w:sz w:val="22"/>
                <w:szCs w:val="22"/>
              </w:rPr>
              <w:t>Cheraghi</w:t>
            </w:r>
            <w:proofErr w:type="spellEnd"/>
            <w:r w:rsidRPr="00C87565">
              <w:rPr>
                <w:rFonts w:asciiTheme="minorHAnsi" w:hAnsiTheme="minorHAnsi" w:cstheme="minorHAnsi"/>
                <w:b w:val="0"/>
                <w:bCs w:val="0"/>
                <w:sz w:val="22"/>
                <w:szCs w:val="22"/>
              </w:rPr>
              <w:t>-Sohi, Research Fellow (Manchester)</w:t>
            </w:r>
          </w:p>
          <w:p w14:paraId="3B101C96" w14:textId="71637300" w:rsidR="00274ACB" w:rsidRPr="00C87565" w:rsidRDefault="00011A18" w:rsidP="00011A18">
            <w:pPr>
              <w:pStyle w:val="ListParagraph"/>
              <w:ind w:left="35"/>
              <w:rPr>
                <w:rFonts w:asciiTheme="minorHAnsi" w:hAnsiTheme="minorHAnsi" w:cstheme="minorHAnsi"/>
                <w:sz w:val="22"/>
                <w:szCs w:val="22"/>
              </w:rPr>
            </w:pPr>
            <w:r w:rsidRPr="00C87565">
              <w:rPr>
                <w:rFonts w:asciiTheme="minorHAnsi" w:hAnsiTheme="minorHAnsi" w:cstheme="minorHAnsi"/>
                <w:b w:val="0"/>
                <w:bCs w:val="0"/>
                <w:sz w:val="22"/>
                <w:szCs w:val="22"/>
              </w:rPr>
              <w:t>Prof</w:t>
            </w:r>
            <w:r w:rsidR="00922E15" w:rsidRPr="00C87565">
              <w:rPr>
                <w:rFonts w:asciiTheme="minorHAnsi" w:hAnsiTheme="minorHAnsi" w:cstheme="minorHAnsi"/>
                <w:b w:val="0"/>
                <w:bCs w:val="0"/>
                <w:sz w:val="22"/>
                <w:szCs w:val="22"/>
              </w:rPr>
              <w:t>essor</w:t>
            </w:r>
            <w:r w:rsidRPr="00C87565">
              <w:rPr>
                <w:rFonts w:asciiTheme="minorHAnsi" w:hAnsiTheme="minorHAnsi" w:cstheme="minorHAnsi"/>
                <w:b w:val="0"/>
                <w:bCs w:val="0"/>
                <w:sz w:val="22"/>
                <w:szCs w:val="22"/>
              </w:rPr>
              <w:t xml:space="preserve"> Evan </w:t>
            </w:r>
            <w:proofErr w:type="spellStart"/>
            <w:r w:rsidRPr="00C87565">
              <w:rPr>
                <w:rFonts w:asciiTheme="minorHAnsi" w:hAnsiTheme="minorHAnsi" w:cstheme="minorHAnsi"/>
                <w:b w:val="0"/>
                <w:bCs w:val="0"/>
                <w:sz w:val="22"/>
                <w:szCs w:val="22"/>
              </w:rPr>
              <w:t>Kontopantelis</w:t>
            </w:r>
            <w:proofErr w:type="spellEnd"/>
            <w:r w:rsidRPr="00C87565">
              <w:rPr>
                <w:rFonts w:asciiTheme="minorHAnsi" w:hAnsiTheme="minorHAnsi" w:cstheme="minorHAnsi"/>
                <w:b w:val="0"/>
                <w:bCs w:val="0"/>
                <w:sz w:val="22"/>
                <w:szCs w:val="22"/>
              </w:rPr>
              <w:t xml:space="preserve"> (Manchester)</w:t>
            </w:r>
          </w:p>
          <w:p w14:paraId="4976C3BE" w14:textId="1035583D" w:rsidR="00220D1C" w:rsidRPr="00922E15" w:rsidRDefault="00220D1C" w:rsidP="00922E15">
            <w:pPr>
              <w:rPr>
                <w:rFonts w:asciiTheme="minorHAnsi" w:hAnsiTheme="minorHAnsi"/>
                <w:sz w:val="22"/>
                <w:szCs w:val="22"/>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0BCF822" w14:textId="0479BF65" w:rsidR="00220D1C" w:rsidRPr="00AE5175" w:rsidRDefault="00011A18" w:rsidP="00220D1C">
            <w:pPr>
              <w:rPr>
                <w:rFonts w:asciiTheme="minorHAnsi" w:hAnsiTheme="minorHAnsi"/>
                <w:b w:val="0"/>
                <w:sz w:val="22"/>
                <w:szCs w:val="22"/>
              </w:rPr>
            </w:pPr>
            <w:r w:rsidRPr="00AE5175">
              <w:rPr>
                <w:rFonts w:asciiTheme="minorHAnsi" w:hAnsiTheme="minorHAnsi"/>
                <w:b w:val="0"/>
                <w:sz w:val="22"/>
                <w:szCs w:val="22"/>
              </w:rPr>
              <w:t>The candidate</w:t>
            </w:r>
            <w:r w:rsidR="00AE5175" w:rsidRPr="00AE5175">
              <w:rPr>
                <w:rFonts w:asciiTheme="minorHAnsi" w:hAnsiTheme="minorHAnsi"/>
                <w:b w:val="0"/>
                <w:sz w:val="22"/>
                <w:szCs w:val="22"/>
              </w:rPr>
              <w:t xml:space="preserve"> will </w:t>
            </w:r>
            <w:r w:rsidR="00A972E8">
              <w:rPr>
                <w:rFonts w:asciiTheme="minorHAnsi" w:hAnsiTheme="minorHAnsi"/>
                <w:b w:val="0"/>
                <w:sz w:val="22"/>
                <w:szCs w:val="22"/>
              </w:rPr>
              <w:t xml:space="preserve">have </w:t>
            </w:r>
            <w:r w:rsidR="00AE5175" w:rsidRPr="00AE5175">
              <w:rPr>
                <w:rFonts w:asciiTheme="minorHAnsi" w:hAnsiTheme="minorHAnsi"/>
                <w:b w:val="0"/>
                <w:sz w:val="22"/>
                <w:szCs w:val="22"/>
              </w:rPr>
              <w:t xml:space="preserve">opportunities for learning and </w:t>
            </w:r>
            <w:r w:rsidR="00A972E8">
              <w:rPr>
                <w:rFonts w:asciiTheme="minorHAnsi" w:hAnsiTheme="minorHAnsi"/>
                <w:b w:val="0"/>
                <w:sz w:val="22"/>
                <w:szCs w:val="22"/>
              </w:rPr>
              <w:t xml:space="preserve">personal </w:t>
            </w:r>
            <w:r w:rsidR="00AE5175" w:rsidRPr="00AE5175">
              <w:rPr>
                <w:rFonts w:asciiTheme="minorHAnsi" w:hAnsiTheme="minorHAnsi"/>
                <w:b w:val="0"/>
                <w:sz w:val="22"/>
                <w:szCs w:val="22"/>
              </w:rPr>
              <w:t>development across the NIHR SCPR</w:t>
            </w:r>
            <w:r w:rsidR="00AE5175">
              <w:rPr>
                <w:rFonts w:asciiTheme="minorHAnsi" w:hAnsiTheme="minorHAnsi"/>
                <w:b w:val="0"/>
                <w:sz w:val="22"/>
                <w:szCs w:val="22"/>
              </w:rPr>
              <w:t xml:space="preserve">. They will be supported to attend trainee conferences and </w:t>
            </w:r>
            <w:r w:rsidR="00D8388E">
              <w:rPr>
                <w:rFonts w:asciiTheme="minorHAnsi" w:hAnsiTheme="minorHAnsi"/>
                <w:b w:val="0"/>
                <w:sz w:val="22"/>
                <w:szCs w:val="22"/>
              </w:rPr>
              <w:t>s</w:t>
            </w:r>
            <w:r w:rsidR="00AE5175">
              <w:rPr>
                <w:rFonts w:asciiTheme="minorHAnsi" w:hAnsiTheme="minorHAnsi"/>
                <w:b w:val="0"/>
                <w:sz w:val="22"/>
                <w:szCs w:val="22"/>
              </w:rPr>
              <w:t xml:space="preserve">howcases to meet with primary care research colleagues and receive expert training and insight into developing their career as a primary care academic. </w:t>
            </w:r>
            <w:r w:rsidR="00A972E8">
              <w:rPr>
                <w:rFonts w:asciiTheme="minorHAnsi" w:hAnsiTheme="minorHAnsi"/>
                <w:b w:val="0"/>
                <w:sz w:val="22"/>
                <w:szCs w:val="22"/>
              </w:rPr>
              <w:t xml:space="preserve">The candidate </w:t>
            </w:r>
            <w:r w:rsidR="00AE5175">
              <w:rPr>
                <w:rFonts w:asciiTheme="minorHAnsi" w:hAnsiTheme="minorHAnsi"/>
                <w:b w:val="0"/>
                <w:sz w:val="22"/>
                <w:szCs w:val="22"/>
              </w:rPr>
              <w:t xml:space="preserve">will have access to methodological and career skills training from the </w:t>
            </w:r>
            <w:r w:rsidR="00420545">
              <w:rPr>
                <w:rFonts w:asciiTheme="minorHAnsi" w:hAnsiTheme="minorHAnsi"/>
                <w:b w:val="0"/>
                <w:sz w:val="22"/>
                <w:szCs w:val="22"/>
              </w:rPr>
              <w:t xml:space="preserve">Doctoral Academy at the University of </w:t>
            </w:r>
            <w:r w:rsidR="00AE5175">
              <w:rPr>
                <w:rFonts w:asciiTheme="minorHAnsi" w:hAnsiTheme="minorHAnsi"/>
                <w:b w:val="0"/>
                <w:sz w:val="22"/>
                <w:szCs w:val="22"/>
              </w:rPr>
              <w:t xml:space="preserve">Manchester </w:t>
            </w:r>
            <w:r w:rsidR="00420545">
              <w:rPr>
                <w:rFonts w:asciiTheme="minorHAnsi" w:hAnsiTheme="minorHAnsi"/>
                <w:b w:val="0"/>
                <w:sz w:val="22"/>
                <w:szCs w:val="22"/>
              </w:rPr>
              <w:t>and the NIHR Academy.</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7689635" w14:textId="77777777" w:rsidR="004F0E82" w:rsidRPr="004F0E82" w:rsidRDefault="004F0E82" w:rsidP="004F0E82">
            <w:pPr>
              <w:tabs>
                <w:tab w:val="left" w:pos="4453"/>
              </w:tabs>
              <w:spacing w:before="120"/>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Background</w:t>
            </w:r>
          </w:p>
          <w:p w14:paraId="69F7DEF9" w14:textId="62507750" w:rsidR="00A95FCB" w:rsidRPr="00A95FCB" w:rsidRDefault="00A95FCB" w:rsidP="00A95FCB">
            <w:pPr>
              <w:tabs>
                <w:tab w:val="left" w:pos="4453"/>
              </w:tabs>
              <w:rPr>
                <w:rFonts w:asciiTheme="minorHAnsi" w:hAnsiTheme="minorHAnsi" w:cstheme="minorHAnsi"/>
                <w:b w:val="0"/>
                <w:bCs w:val="0"/>
                <w:sz w:val="22"/>
                <w:szCs w:val="22"/>
              </w:rPr>
            </w:pPr>
            <w:r w:rsidRPr="00A95FCB">
              <w:rPr>
                <w:rFonts w:asciiTheme="minorHAnsi" w:hAnsiTheme="minorHAnsi" w:cstheme="minorHAnsi"/>
                <w:b w:val="0"/>
                <w:bCs w:val="0"/>
                <w:sz w:val="22"/>
                <w:szCs w:val="22"/>
              </w:rPr>
              <w:t xml:space="preserve">GP practices in England provide over 30 million appointments per month, some of which are for medical conditions that require urgent treatment like infections or heart attacks. Delays in urgent care can lead to patient harm including hospital admission or death. A key challenge is to identify which patients require urgent help. Over the past two years, </w:t>
            </w:r>
            <w:r>
              <w:rPr>
                <w:rFonts w:asciiTheme="minorHAnsi" w:hAnsiTheme="minorHAnsi" w:cstheme="minorHAnsi"/>
                <w:b w:val="0"/>
                <w:bCs w:val="0"/>
                <w:sz w:val="22"/>
                <w:szCs w:val="22"/>
              </w:rPr>
              <w:t xml:space="preserve">almost all </w:t>
            </w:r>
            <w:r w:rsidRPr="00A95FCB">
              <w:rPr>
                <w:rFonts w:asciiTheme="minorHAnsi" w:hAnsiTheme="minorHAnsi" w:cstheme="minorHAnsi"/>
                <w:b w:val="0"/>
                <w:bCs w:val="0"/>
                <w:sz w:val="22"/>
                <w:szCs w:val="22"/>
              </w:rPr>
              <w:t xml:space="preserve">GP practices in England provided online consultations, which enable patients to request help from their healthcare teams by submitting forms over the internet. Online consultations come to the GP practice </w:t>
            </w:r>
            <w:proofErr w:type="spellStart"/>
            <w:r w:rsidRPr="00A95FCB">
              <w:rPr>
                <w:rFonts w:asciiTheme="minorHAnsi" w:hAnsiTheme="minorHAnsi" w:cstheme="minorHAnsi"/>
                <w:b w:val="0"/>
                <w:bCs w:val="0"/>
                <w:sz w:val="22"/>
                <w:szCs w:val="22"/>
              </w:rPr>
              <w:t>unprioriti</w:t>
            </w:r>
            <w:r>
              <w:rPr>
                <w:rFonts w:asciiTheme="minorHAnsi" w:hAnsiTheme="minorHAnsi" w:cstheme="minorHAnsi"/>
                <w:b w:val="0"/>
                <w:bCs w:val="0"/>
                <w:sz w:val="22"/>
                <w:szCs w:val="22"/>
              </w:rPr>
              <w:t>s</w:t>
            </w:r>
            <w:r w:rsidRPr="00A95FCB">
              <w:rPr>
                <w:rFonts w:asciiTheme="minorHAnsi" w:hAnsiTheme="minorHAnsi" w:cstheme="minorHAnsi"/>
                <w:b w:val="0"/>
                <w:bCs w:val="0"/>
                <w:sz w:val="22"/>
                <w:szCs w:val="22"/>
              </w:rPr>
              <w:t>ed</w:t>
            </w:r>
            <w:proofErr w:type="spellEnd"/>
            <w:r w:rsidRPr="00A95FCB">
              <w:rPr>
                <w:rFonts w:asciiTheme="minorHAnsi" w:hAnsiTheme="minorHAnsi" w:cstheme="minorHAnsi"/>
                <w:b w:val="0"/>
                <w:bCs w:val="0"/>
                <w:sz w:val="22"/>
                <w:szCs w:val="22"/>
              </w:rPr>
              <w:t xml:space="preserve"> and can exacerbate delays in providing urgent care. One potential solution is for the online consultation system to automatically detect and highlight urgent and emergency requests as soon as they are submitted.</w:t>
            </w:r>
            <w:r>
              <w:rPr>
                <w:rFonts w:asciiTheme="minorHAnsi" w:hAnsiTheme="minorHAnsi" w:cstheme="minorHAnsi"/>
                <w:b w:val="0"/>
                <w:bCs w:val="0"/>
                <w:sz w:val="22"/>
                <w:szCs w:val="22"/>
              </w:rPr>
              <w:t xml:space="preserve"> One online consultation system called PATCHS </w:t>
            </w:r>
            <w:r w:rsidRPr="00A95FCB">
              <w:rPr>
                <w:rFonts w:asciiTheme="minorHAnsi" w:hAnsiTheme="minorHAnsi" w:cstheme="minorHAnsi"/>
                <w:b w:val="0"/>
                <w:bCs w:val="0"/>
                <w:sz w:val="22"/>
                <w:szCs w:val="22"/>
              </w:rPr>
              <w:t>(</w:t>
            </w:r>
            <w:hyperlink r:id="rId11" w:history="1">
              <w:r w:rsidRPr="00A95FCB">
                <w:rPr>
                  <w:rStyle w:val="Hyperlink"/>
                  <w:rFonts w:asciiTheme="minorHAnsi" w:hAnsiTheme="minorHAnsi" w:cstheme="minorHAnsi"/>
                  <w:b w:val="0"/>
                  <w:bCs w:val="0"/>
                  <w:sz w:val="22"/>
                  <w:szCs w:val="22"/>
                </w:rPr>
                <w:t>www.patchs.ai</w:t>
              </w:r>
            </w:hyperlink>
            <w:r w:rsidRPr="00A95FCB">
              <w:rPr>
                <w:rFonts w:asciiTheme="minorHAnsi" w:hAnsiTheme="minorHAnsi" w:cstheme="minorHAnsi"/>
                <w:b w:val="0"/>
                <w:bCs w:val="0"/>
                <w:sz w:val="22"/>
                <w:szCs w:val="22"/>
              </w:rPr>
              <w:t>)</w:t>
            </w:r>
            <w:r>
              <w:rPr>
                <w:rFonts w:asciiTheme="minorHAnsi" w:hAnsiTheme="minorHAnsi" w:cstheme="minorHAnsi"/>
                <w:b w:val="0"/>
                <w:bCs w:val="0"/>
                <w:sz w:val="22"/>
                <w:szCs w:val="22"/>
              </w:rPr>
              <w:t xml:space="preserve"> has developed a novel approach to doing this using artificial intelligence (AI), which is used in GP practices across England. The approach uses deep learning and natural language processing, which purports to be easier to use for patients and GP practice staff than traditional approaches to patient triage that use multiple choice question</w:t>
            </w:r>
            <w:r w:rsidR="004D3079">
              <w:rPr>
                <w:rFonts w:asciiTheme="minorHAnsi" w:hAnsiTheme="minorHAnsi" w:cstheme="minorHAnsi"/>
                <w:b w:val="0"/>
                <w:bCs w:val="0"/>
                <w:sz w:val="22"/>
                <w:szCs w:val="22"/>
              </w:rPr>
              <w:t>naire</w:t>
            </w:r>
            <w:r>
              <w:rPr>
                <w:rFonts w:asciiTheme="minorHAnsi" w:hAnsiTheme="minorHAnsi" w:cstheme="minorHAnsi"/>
                <w:b w:val="0"/>
                <w:bCs w:val="0"/>
                <w:sz w:val="22"/>
                <w:szCs w:val="22"/>
              </w:rPr>
              <w:t>s.</w:t>
            </w:r>
          </w:p>
          <w:p w14:paraId="1336AA0A" w14:textId="77777777" w:rsidR="004F0E82" w:rsidRPr="004F0E82" w:rsidRDefault="004F0E82" w:rsidP="004F0E82">
            <w:pPr>
              <w:tabs>
                <w:tab w:val="left" w:pos="4453"/>
              </w:tabs>
              <w:rPr>
                <w:rFonts w:asciiTheme="minorHAnsi" w:hAnsiTheme="minorHAnsi" w:cstheme="minorHAnsi"/>
                <w:b w:val="0"/>
                <w:bCs w:val="0"/>
                <w:sz w:val="22"/>
                <w:szCs w:val="22"/>
              </w:rPr>
            </w:pPr>
          </w:p>
          <w:p w14:paraId="3325FE40"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Aims</w:t>
            </w:r>
          </w:p>
          <w:p w14:paraId="7E0A2284" w14:textId="0B06811E"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The aim</w:t>
            </w:r>
            <w:r w:rsidR="00A95FCB">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 xml:space="preserve">of this PhD project </w:t>
            </w:r>
            <w:r w:rsidR="00A95FCB">
              <w:rPr>
                <w:rFonts w:asciiTheme="minorHAnsi" w:hAnsiTheme="minorHAnsi" w:cstheme="minorHAnsi"/>
                <w:b w:val="0"/>
                <w:bCs w:val="0"/>
                <w:sz w:val="22"/>
                <w:szCs w:val="22"/>
              </w:rPr>
              <w:t xml:space="preserve">is </w:t>
            </w:r>
            <w:r w:rsidRPr="004F0E82">
              <w:rPr>
                <w:rFonts w:asciiTheme="minorHAnsi" w:hAnsiTheme="minorHAnsi" w:cstheme="minorHAnsi"/>
                <w:b w:val="0"/>
                <w:bCs w:val="0"/>
                <w:sz w:val="22"/>
                <w:szCs w:val="22"/>
              </w:rPr>
              <w:t xml:space="preserve">to </w:t>
            </w:r>
            <w:r w:rsidR="00A95FCB">
              <w:rPr>
                <w:rFonts w:asciiTheme="minorHAnsi" w:hAnsiTheme="minorHAnsi" w:cstheme="minorHAnsi"/>
                <w:b w:val="0"/>
                <w:bCs w:val="0"/>
                <w:sz w:val="22"/>
                <w:szCs w:val="22"/>
              </w:rPr>
              <w:t xml:space="preserve">evaluate the use of AI Triage in GP practices using PATCHS. The primary approach will be qualitative utilising interview and observation-based techniques, though dependent on candidate preference and </w:t>
            </w:r>
            <w:r w:rsidR="004D3079">
              <w:rPr>
                <w:rFonts w:asciiTheme="minorHAnsi" w:hAnsiTheme="minorHAnsi" w:cstheme="minorHAnsi"/>
                <w:b w:val="0"/>
                <w:bCs w:val="0"/>
                <w:sz w:val="22"/>
                <w:szCs w:val="22"/>
              </w:rPr>
              <w:t xml:space="preserve">previous experience </w:t>
            </w:r>
            <w:r w:rsidR="00A95FCB">
              <w:rPr>
                <w:rFonts w:asciiTheme="minorHAnsi" w:hAnsiTheme="minorHAnsi" w:cstheme="minorHAnsi"/>
                <w:b w:val="0"/>
                <w:bCs w:val="0"/>
                <w:sz w:val="22"/>
                <w:szCs w:val="22"/>
              </w:rPr>
              <w:t xml:space="preserve">opportunities </w:t>
            </w:r>
            <w:r w:rsidR="004D3079">
              <w:rPr>
                <w:rFonts w:asciiTheme="minorHAnsi" w:hAnsiTheme="minorHAnsi" w:cstheme="minorHAnsi"/>
                <w:b w:val="0"/>
                <w:bCs w:val="0"/>
                <w:sz w:val="22"/>
                <w:szCs w:val="22"/>
              </w:rPr>
              <w:t xml:space="preserve">for </w:t>
            </w:r>
            <w:r w:rsidR="00A95FCB">
              <w:rPr>
                <w:rFonts w:asciiTheme="minorHAnsi" w:hAnsiTheme="minorHAnsi" w:cstheme="minorHAnsi"/>
                <w:b w:val="0"/>
                <w:bCs w:val="0"/>
                <w:sz w:val="22"/>
                <w:szCs w:val="22"/>
              </w:rPr>
              <w:t>using quantitative methodologies will also be possible.</w:t>
            </w:r>
          </w:p>
          <w:p w14:paraId="65DB1DE2" w14:textId="77777777" w:rsidR="004F0E82" w:rsidRPr="004F0E82" w:rsidRDefault="004F0E82" w:rsidP="004F0E82">
            <w:pPr>
              <w:tabs>
                <w:tab w:val="left" w:pos="4453"/>
              </w:tabs>
              <w:rPr>
                <w:rFonts w:asciiTheme="minorHAnsi" w:hAnsiTheme="minorHAnsi" w:cstheme="minorHAnsi"/>
                <w:b w:val="0"/>
                <w:bCs w:val="0"/>
                <w:sz w:val="22"/>
                <w:szCs w:val="22"/>
              </w:rPr>
            </w:pPr>
          </w:p>
          <w:p w14:paraId="221651BA"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Methods</w:t>
            </w:r>
          </w:p>
          <w:p w14:paraId="71EF9B28" w14:textId="776D141D" w:rsidR="004F0E82" w:rsidRPr="004F0E82" w:rsidRDefault="00A95FCB" w:rsidP="00995FE5">
            <w:pPr>
              <w:tabs>
                <w:tab w:val="left" w:pos="4453"/>
              </w:tabs>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candidate will join a wider team </w:t>
            </w:r>
            <w:r w:rsidR="00995FE5">
              <w:rPr>
                <w:rFonts w:asciiTheme="minorHAnsi" w:hAnsiTheme="minorHAnsi" w:cstheme="minorHAnsi"/>
                <w:b w:val="0"/>
                <w:bCs w:val="0"/>
                <w:sz w:val="22"/>
                <w:szCs w:val="22"/>
              </w:rPr>
              <w:t xml:space="preserve">who are evaluating PATCHS AI Triage. Qualitative evaluations will be based </w:t>
            </w:r>
            <w:r w:rsidR="00995FE5" w:rsidRPr="00995FE5">
              <w:rPr>
                <w:rFonts w:asciiTheme="minorHAnsi" w:hAnsiTheme="minorHAnsi" w:cstheme="minorHAnsi"/>
                <w:b w:val="0"/>
                <w:bCs w:val="0"/>
                <w:sz w:val="22"/>
                <w:szCs w:val="22"/>
              </w:rPr>
              <w:t xml:space="preserve">on in-depth </w:t>
            </w:r>
            <w:r w:rsidR="004D3079">
              <w:rPr>
                <w:rFonts w:asciiTheme="minorHAnsi" w:hAnsiTheme="minorHAnsi" w:cstheme="minorHAnsi"/>
                <w:b w:val="0"/>
                <w:bCs w:val="0"/>
                <w:sz w:val="22"/>
                <w:szCs w:val="22"/>
              </w:rPr>
              <w:t xml:space="preserve">ethnographic </w:t>
            </w:r>
            <w:r w:rsidR="00995FE5" w:rsidRPr="00995FE5">
              <w:rPr>
                <w:rFonts w:asciiTheme="minorHAnsi" w:hAnsiTheme="minorHAnsi" w:cstheme="minorHAnsi"/>
                <w:b w:val="0"/>
                <w:bCs w:val="0"/>
                <w:sz w:val="22"/>
                <w:szCs w:val="22"/>
              </w:rPr>
              <w:t>case studies</w:t>
            </w:r>
            <w:r w:rsidR="00995FE5">
              <w:rPr>
                <w:rFonts w:asciiTheme="minorHAnsi" w:hAnsiTheme="minorHAnsi" w:cstheme="minorHAnsi"/>
                <w:b w:val="0"/>
                <w:bCs w:val="0"/>
                <w:sz w:val="22"/>
                <w:szCs w:val="22"/>
              </w:rPr>
              <w:t xml:space="preserve"> at purposively selected GP practices</w:t>
            </w:r>
            <w:r w:rsidR="004D3079">
              <w:rPr>
                <w:rFonts w:asciiTheme="minorHAnsi" w:hAnsiTheme="minorHAnsi" w:cstheme="minorHAnsi"/>
                <w:b w:val="0"/>
                <w:bCs w:val="0"/>
                <w:sz w:val="22"/>
                <w:szCs w:val="22"/>
              </w:rPr>
              <w:t xml:space="preserve">. These will be </w:t>
            </w:r>
            <w:r w:rsidR="00995FE5" w:rsidRPr="00995FE5">
              <w:rPr>
                <w:rFonts w:asciiTheme="minorHAnsi" w:hAnsiTheme="minorHAnsi" w:cstheme="minorHAnsi"/>
                <w:b w:val="0"/>
                <w:bCs w:val="0"/>
                <w:sz w:val="22"/>
                <w:szCs w:val="22"/>
              </w:rPr>
              <w:t xml:space="preserve">supplemented by interviews with </w:t>
            </w:r>
            <w:r w:rsidR="00995FE5">
              <w:rPr>
                <w:rFonts w:asciiTheme="minorHAnsi" w:hAnsiTheme="minorHAnsi" w:cstheme="minorHAnsi"/>
                <w:b w:val="0"/>
                <w:bCs w:val="0"/>
                <w:sz w:val="22"/>
                <w:szCs w:val="22"/>
              </w:rPr>
              <w:t xml:space="preserve">GP practice </w:t>
            </w:r>
            <w:r w:rsidR="00995FE5" w:rsidRPr="00995FE5">
              <w:rPr>
                <w:rFonts w:asciiTheme="minorHAnsi" w:hAnsiTheme="minorHAnsi" w:cstheme="minorHAnsi"/>
                <w:b w:val="0"/>
                <w:bCs w:val="0"/>
                <w:sz w:val="22"/>
                <w:szCs w:val="22"/>
              </w:rPr>
              <w:t>staff and patients</w:t>
            </w:r>
            <w:r w:rsidR="004D3079">
              <w:rPr>
                <w:rFonts w:asciiTheme="minorHAnsi" w:hAnsiTheme="minorHAnsi" w:cstheme="minorHAnsi"/>
                <w:b w:val="0"/>
                <w:bCs w:val="0"/>
                <w:sz w:val="22"/>
                <w:szCs w:val="22"/>
              </w:rPr>
              <w:t xml:space="preserve"> at case study sites and other GP practices</w:t>
            </w:r>
            <w:r w:rsidR="00995FE5" w:rsidRPr="00995FE5">
              <w:rPr>
                <w:rFonts w:asciiTheme="minorHAnsi" w:hAnsiTheme="minorHAnsi" w:cstheme="minorHAnsi"/>
                <w:b w:val="0"/>
                <w:bCs w:val="0"/>
                <w:sz w:val="22"/>
                <w:szCs w:val="22"/>
              </w:rPr>
              <w:t>.</w:t>
            </w:r>
            <w:r w:rsidR="00995FE5">
              <w:rPr>
                <w:rFonts w:asciiTheme="minorHAnsi" w:hAnsiTheme="minorHAnsi" w:cstheme="minorHAnsi"/>
                <w:b w:val="0"/>
                <w:bCs w:val="0"/>
                <w:sz w:val="22"/>
                <w:szCs w:val="22"/>
              </w:rPr>
              <w:t xml:space="preserve"> </w:t>
            </w:r>
            <w:r w:rsidR="00995FE5" w:rsidRPr="00995FE5">
              <w:rPr>
                <w:rFonts w:asciiTheme="minorHAnsi" w:hAnsiTheme="minorHAnsi" w:cstheme="minorHAnsi"/>
                <w:b w:val="0"/>
                <w:bCs w:val="0"/>
                <w:sz w:val="22"/>
                <w:szCs w:val="22"/>
              </w:rPr>
              <w:t>The objective will be to capture emerging changes in implementation, experiences of AI Triage and unanticipated or complex causal pathways, to generate new theory of how AI Triage work</w:t>
            </w:r>
            <w:r w:rsidR="004D3079">
              <w:rPr>
                <w:rFonts w:asciiTheme="minorHAnsi" w:hAnsiTheme="minorHAnsi" w:cstheme="minorHAnsi"/>
                <w:b w:val="0"/>
                <w:bCs w:val="0"/>
                <w:sz w:val="22"/>
                <w:szCs w:val="22"/>
              </w:rPr>
              <w:t>s</w:t>
            </w:r>
            <w:r w:rsidR="00995FE5" w:rsidRPr="00995FE5">
              <w:rPr>
                <w:rFonts w:asciiTheme="minorHAnsi" w:hAnsiTheme="minorHAnsi" w:cstheme="minorHAnsi"/>
                <w:b w:val="0"/>
                <w:bCs w:val="0"/>
                <w:sz w:val="22"/>
                <w:szCs w:val="22"/>
              </w:rPr>
              <w:t xml:space="preserve"> in practice.</w:t>
            </w:r>
            <w:r w:rsidR="00995FE5" w:rsidRPr="00995FE5">
              <w:rPr>
                <w:rFonts w:asciiTheme="minorHAnsi" w:hAnsiTheme="minorHAnsi" w:cstheme="minorHAnsi"/>
                <w:sz w:val="22"/>
                <w:szCs w:val="22"/>
              </w:rPr>
              <w:t xml:space="preserve"> </w:t>
            </w:r>
            <w:r w:rsidR="00995FE5">
              <w:rPr>
                <w:rFonts w:asciiTheme="minorHAnsi" w:hAnsiTheme="minorHAnsi" w:cstheme="minorHAnsi"/>
                <w:b w:val="0"/>
                <w:bCs w:val="0"/>
                <w:sz w:val="22"/>
                <w:szCs w:val="22"/>
              </w:rPr>
              <w:t xml:space="preserve">If carried out, quantitative evaluations will focus on </w:t>
            </w:r>
            <w:r w:rsidR="00995FE5" w:rsidRPr="00995FE5">
              <w:rPr>
                <w:rFonts w:asciiTheme="minorHAnsi" w:hAnsiTheme="minorHAnsi" w:cstheme="minorHAnsi"/>
                <w:b w:val="0"/>
                <w:bCs w:val="0"/>
                <w:sz w:val="22"/>
                <w:szCs w:val="22"/>
              </w:rPr>
              <w:t>descriptive analys</w:t>
            </w:r>
            <w:r w:rsidR="00995FE5">
              <w:rPr>
                <w:rFonts w:asciiTheme="minorHAnsi" w:hAnsiTheme="minorHAnsi" w:cstheme="minorHAnsi"/>
                <w:b w:val="0"/>
                <w:bCs w:val="0"/>
                <w:sz w:val="22"/>
                <w:szCs w:val="22"/>
              </w:rPr>
              <w:t>e</w:t>
            </w:r>
            <w:r w:rsidR="00995FE5" w:rsidRPr="00995FE5">
              <w:rPr>
                <w:rFonts w:asciiTheme="minorHAnsi" w:hAnsiTheme="minorHAnsi" w:cstheme="minorHAnsi"/>
                <w:b w:val="0"/>
                <w:bCs w:val="0"/>
                <w:sz w:val="22"/>
                <w:szCs w:val="22"/>
              </w:rPr>
              <w:t>s of AI Triage implementation (fidelity, dose, and reach), and prediction accuracy.</w:t>
            </w:r>
          </w:p>
          <w:p w14:paraId="43052F07" w14:textId="77777777" w:rsidR="004F0E82" w:rsidRPr="004F0E82" w:rsidRDefault="004F0E82" w:rsidP="004F0E82">
            <w:pPr>
              <w:tabs>
                <w:tab w:val="left" w:pos="4453"/>
              </w:tabs>
              <w:rPr>
                <w:rFonts w:asciiTheme="minorHAnsi" w:hAnsiTheme="minorHAnsi" w:cstheme="minorHAnsi"/>
                <w:b w:val="0"/>
                <w:bCs w:val="0"/>
                <w:sz w:val="22"/>
                <w:szCs w:val="22"/>
              </w:rPr>
            </w:pPr>
          </w:p>
          <w:p w14:paraId="38E9E693"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How the results of the research will be used</w:t>
            </w:r>
          </w:p>
          <w:p w14:paraId="483C3A79" w14:textId="497A382A" w:rsidR="004F0E82" w:rsidRPr="004F0E82" w:rsidRDefault="00056752" w:rsidP="004F0E82">
            <w:pPr>
              <w:tabs>
                <w:tab w:val="left" w:pos="4453"/>
              </w:tabs>
              <w:rPr>
                <w:rFonts w:asciiTheme="minorHAnsi" w:hAnsiTheme="minorHAnsi" w:cstheme="minorHAnsi"/>
                <w:b w:val="0"/>
                <w:bCs w:val="0"/>
                <w:sz w:val="22"/>
                <w:szCs w:val="22"/>
              </w:rPr>
            </w:pPr>
            <w:r>
              <w:rPr>
                <w:rFonts w:asciiTheme="minorHAnsi" w:hAnsiTheme="minorHAnsi" w:cstheme="minorHAnsi"/>
                <w:b w:val="0"/>
                <w:bCs w:val="0"/>
                <w:sz w:val="22"/>
                <w:szCs w:val="22"/>
              </w:rPr>
              <w:t>In addition to contributing to scientific publications and presentations, r</w:t>
            </w:r>
            <w:r w:rsidR="00995FE5">
              <w:rPr>
                <w:rFonts w:asciiTheme="minorHAnsi" w:hAnsiTheme="minorHAnsi" w:cstheme="minorHAnsi"/>
                <w:b w:val="0"/>
                <w:bCs w:val="0"/>
                <w:sz w:val="22"/>
                <w:szCs w:val="22"/>
              </w:rPr>
              <w:t>esults</w:t>
            </w:r>
            <w:r w:rsidR="004F0E82" w:rsidRPr="004F0E82">
              <w:rPr>
                <w:rFonts w:asciiTheme="minorHAnsi" w:hAnsiTheme="minorHAnsi" w:cstheme="minorHAnsi"/>
                <w:b w:val="0"/>
                <w:bCs w:val="0"/>
                <w:sz w:val="22"/>
                <w:szCs w:val="22"/>
              </w:rPr>
              <w:t xml:space="preserve"> from </w:t>
            </w:r>
            <w:r>
              <w:rPr>
                <w:rFonts w:asciiTheme="minorHAnsi" w:hAnsiTheme="minorHAnsi" w:cstheme="minorHAnsi"/>
                <w:b w:val="0"/>
                <w:bCs w:val="0"/>
                <w:sz w:val="22"/>
                <w:szCs w:val="22"/>
              </w:rPr>
              <w:t xml:space="preserve">the </w:t>
            </w:r>
            <w:r w:rsidR="004F0E82" w:rsidRPr="004F0E82">
              <w:rPr>
                <w:rFonts w:asciiTheme="minorHAnsi" w:hAnsiTheme="minorHAnsi" w:cstheme="minorHAnsi"/>
                <w:b w:val="0"/>
                <w:bCs w:val="0"/>
                <w:sz w:val="22"/>
                <w:szCs w:val="22"/>
              </w:rPr>
              <w:t xml:space="preserve">project will </w:t>
            </w:r>
            <w:r>
              <w:rPr>
                <w:rFonts w:asciiTheme="minorHAnsi" w:hAnsiTheme="minorHAnsi" w:cstheme="minorHAnsi"/>
                <w:b w:val="0"/>
                <w:bCs w:val="0"/>
                <w:sz w:val="22"/>
                <w:szCs w:val="22"/>
              </w:rPr>
              <w:t>be used to inform NHS Digital policy on how to design and evaluate AI Triage in practice. They will also be used to create ‘how-to’ guides for GP practices and patients on how best to use AI Triage.</w:t>
            </w:r>
          </w:p>
          <w:p w14:paraId="499C1A62" w14:textId="77777777" w:rsidR="004F0E82" w:rsidRPr="004F0E82" w:rsidRDefault="004F0E82" w:rsidP="004F0E82">
            <w:pPr>
              <w:tabs>
                <w:tab w:val="left" w:pos="4453"/>
              </w:tabs>
              <w:rPr>
                <w:rFonts w:asciiTheme="minorHAnsi" w:hAnsiTheme="minorHAnsi" w:cstheme="minorHAnsi"/>
                <w:b w:val="0"/>
                <w:bCs w:val="0"/>
                <w:sz w:val="22"/>
                <w:szCs w:val="22"/>
              </w:rPr>
            </w:pPr>
          </w:p>
          <w:p w14:paraId="04AD070F"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Training and support</w:t>
            </w:r>
          </w:p>
          <w:p w14:paraId="4E8397B4" w14:textId="6F9E9D91" w:rsidR="00220D1C" w:rsidRPr="00DD21ED" w:rsidRDefault="004F0E82" w:rsidP="00056752">
            <w:pPr>
              <w:tabs>
                <w:tab w:val="left" w:pos="4453"/>
              </w:tabs>
              <w:rPr>
                <w:rFonts w:asciiTheme="minorHAnsi" w:hAnsiTheme="minorHAnsi"/>
                <w:b w:val="0"/>
                <w:szCs w:val="24"/>
              </w:rPr>
            </w:pPr>
            <w:r w:rsidRPr="004F0E82">
              <w:rPr>
                <w:rFonts w:asciiTheme="minorHAnsi" w:hAnsiTheme="minorHAnsi" w:cstheme="minorHAnsi"/>
                <w:b w:val="0"/>
                <w:bCs w:val="0"/>
                <w:sz w:val="22"/>
                <w:szCs w:val="22"/>
              </w:rPr>
              <w:lastRenderedPageBreak/>
              <w:t xml:space="preserve">The PhD candidate will be supervised by experts in </w:t>
            </w:r>
            <w:r w:rsidR="00056752">
              <w:rPr>
                <w:rFonts w:asciiTheme="minorHAnsi" w:hAnsiTheme="minorHAnsi" w:cstheme="minorHAnsi"/>
                <w:b w:val="0"/>
                <w:bCs w:val="0"/>
                <w:sz w:val="22"/>
                <w:szCs w:val="22"/>
              </w:rPr>
              <w:t>online consultations, qualitative and quantitative methodologies</w:t>
            </w:r>
            <w:r w:rsidRPr="004F0E82">
              <w:rPr>
                <w:rFonts w:asciiTheme="minorHAnsi" w:hAnsiTheme="minorHAnsi" w:cstheme="minorHAnsi"/>
                <w:b w:val="0"/>
                <w:bCs w:val="0"/>
                <w:sz w:val="22"/>
                <w:szCs w:val="22"/>
              </w:rPr>
              <w:t xml:space="preserve">. The candidate will receive training in </w:t>
            </w:r>
            <w:r w:rsidR="00056752">
              <w:rPr>
                <w:rFonts w:asciiTheme="minorHAnsi" w:hAnsiTheme="minorHAnsi" w:cstheme="minorHAnsi"/>
                <w:b w:val="0"/>
                <w:bCs w:val="0"/>
                <w:sz w:val="22"/>
                <w:szCs w:val="22"/>
              </w:rPr>
              <w:t>qualitative and quantitative methods as appropriate</w:t>
            </w:r>
            <w:r w:rsidRPr="004F0E82">
              <w:rPr>
                <w:rFonts w:asciiTheme="minorHAnsi" w:hAnsiTheme="minorHAnsi" w:cstheme="minorHAnsi"/>
                <w:b w:val="0"/>
                <w:bCs w:val="0"/>
                <w:sz w:val="22"/>
                <w:szCs w:val="22"/>
              </w:rPr>
              <w:t xml:space="preserve">, as well as access to a wide range of development opportunities from the University of Manchester Doctoral Academy, the NIHR Academy, and the </w:t>
            </w:r>
            <w:r w:rsidR="00056752">
              <w:rPr>
                <w:rFonts w:asciiTheme="minorHAnsi" w:hAnsiTheme="minorHAnsi" w:cstheme="minorHAnsi"/>
                <w:b w:val="0"/>
                <w:bCs w:val="0"/>
                <w:sz w:val="22"/>
                <w:szCs w:val="22"/>
              </w:rPr>
              <w:t>SPCR</w:t>
            </w:r>
            <w:r w:rsidRPr="004F0E82">
              <w:rPr>
                <w:rFonts w:asciiTheme="minorHAnsi" w:hAnsiTheme="minorHAnsi" w:cstheme="minorHAnsi"/>
                <w:b w:val="0"/>
                <w:bCs w:val="0"/>
                <w:sz w:val="22"/>
                <w:szCs w:val="22"/>
              </w:rPr>
              <w:t>.</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434D63" w:rsidRPr="00323521" w14:paraId="1060F06D" w14:textId="77777777" w:rsidTr="005B16BE">
        <w:trPr>
          <w:trHeight w:val="118"/>
        </w:trPr>
        <w:tc>
          <w:tcPr>
            <w:cnfStyle w:val="001000000000" w:firstRow="0" w:lastRow="0" w:firstColumn="1" w:lastColumn="0" w:oddVBand="0" w:evenVBand="0" w:oddHBand="0" w:evenHBand="0" w:firstRowFirstColumn="0" w:firstRowLastColumn="0" w:lastRowFirstColumn="0" w:lastRowLastColumn="0"/>
            <w:tcW w:w="5171" w:type="dxa"/>
          </w:tcPr>
          <w:p w14:paraId="2870D3DF" w14:textId="528B9ADE"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Research costs</w:t>
            </w:r>
          </w:p>
        </w:tc>
        <w:tc>
          <w:tcPr>
            <w:tcW w:w="5172" w:type="dxa"/>
          </w:tcPr>
          <w:p w14:paraId="7949697E" w14:textId="785FA0DF"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w:t>
            </w:r>
            <w:r w:rsidR="00D577BA">
              <w:rPr>
                <w:rFonts w:asciiTheme="minorHAnsi" w:hAnsiTheme="minorHAnsi"/>
                <w:sz w:val="22"/>
                <w:szCs w:val="22"/>
              </w:rPr>
              <w:t>1</w:t>
            </w:r>
            <w:r>
              <w:rPr>
                <w:rFonts w:asciiTheme="minorHAnsi" w:hAnsiTheme="minorHAnsi"/>
                <w:sz w:val="22"/>
                <w:szCs w:val="22"/>
              </w:rPr>
              <w:t>,000.00</w:t>
            </w:r>
          </w:p>
        </w:tc>
      </w:tr>
      <w:tr w:rsidR="00434D63" w:rsidRPr="00323521" w14:paraId="33A6ECB8"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A289C95" w14:textId="5E372E6C"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Training expenses</w:t>
            </w:r>
          </w:p>
        </w:tc>
        <w:tc>
          <w:tcPr>
            <w:tcW w:w="5172" w:type="dxa"/>
          </w:tcPr>
          <w:p w14:paraId="78536DC4" w14:textId="41E55591"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r w:rsidR="00D577BA">
              <w:rPr>
                <w:rFonts w:asciiTheme="minorHAnsi" w:hAnsiTheme="minorHAnsi"/>
                <w:sz w:val="22"/>
                <w:szCs w:val="22"/>
              </w:rPr>
              <w:t>10</w:t>
            </w:r>
            <w:r>
              <w:rPr>
                <w:rFonts w:asciiTheme="minorHAnsi" w:hAnsiTheme="minorHAnsi"/>
                <w:sz w:val="22"/>
                <w:szCs w:val="22"/>
              </w:rPr>
              <w:t>,000.00</w:t>
            </w:r>
          </w:p>
        </w:tc>
      </w:tr>
      <w:tr w:rsidR="00434D63" w:rsidRPr="00323521" w14:paraId="5404B775"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089AC0E" w14:textId="107E7B3B"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Estimated total</w:t>
            </w:r>
          </w:p>
        </w:tc>
        <w:tc>
          <w:tcPr>
            <w:tcW w:w="5172" w:type="dxa"/>
          </w:tcPr>
          <w:p w14:paraId="25D413B4" w14:textId="53D9A246"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w:t>
            </w:r>
            <w:r w:rsidR="00D577BA">
              <w:rPr>
                <w:rFonts w:asciiTheme="minorHAnsi" w:hAnsiTheme="minorHAnsi"/>
                <w:sz w:val="22"/>
                <w:szCs w:val="22"/>
              </w:rPr>
              <w:t>31</w:t>
            </w:r>
            <w:r>
              <w:rPr>
                <w:rFonts w:asciiTheme="minorHAnsi" w:hAnsiTheme="minorHAnsi"/>
                <w:sz w:val="22"/>
                <w:szCs w:val="22"/>
              </w:rPr>
              <w:t>,000.00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BB16FE4" w14:textId="1C612D55" w:rsidR="00274ACB" w:rsidRPr="00DB3B2F" w:rsidRDefault="002B0282" w:rsidP="00B32C43">
            <w:pPr>
              <w:pStyle w:val="BodyText2"/>
              <w:tabs>
                <w:tab w:val="clear" w:pos="720"/>
              </w:tabs>
              <w:jc w:val="both"/>
              <w:rPr>
                <w:rFonts w:asciiTheme="minorHAnsi" w:hAnsiTheme="minorHAnsi" w:cstheme="minorHAnsi"/>
                <w:iCs/>
                <w:szCs w:val="22"/>
              </w:rPr>
            </w:pPr>
            <w:r w:rsidRPr="00323521">
              <w:rPr>
                <w:rFonts w:asciiTheme="minorHAnsi" w:hAnsiTheme="minorHAnsi" w:cs="Arial"/>
                <w:i/>
                <w:sz w:val="24"/>
                <w:szCs w:val="24"/>
              </w:rPr>
              <w:t>Formal training:</w:t>
            </w:r>
            <w:r w:rsidR="00DB3B2F">
              <w:rPr>
                <w:rFonts w:asciiTheme="minorHAnsi" w:hAnsiTheme="minorHAnsi" w:cs="Arial"/>
                <w:iCs/>
                <w:sz w:val="24"/>
                <w:szCs w:val="24"/>
              </w:rPr>
              <w:t xml:space="preserve"> </w:t>
            </w:r>
            <w:r w:rsidR="00DB3B2F">
              <w:rPr>
                <w:rFonts w:asciiTheme="minorHAnsi" w:hAnsiTheme="minorHAnsi" w:cstheme="minorHAnsi"/>
                <w:iCs/>
                <w:szCs w:val="22"/>
              </w:rPr>
              <w:t xml:space="preserve">The </w:t>
            </w:r>
            <w:r w:rsidR="00A972E8">
              <w:rPr>
                <w:rFonts w:asciiTheme="minorHAnsi" w:hAnsiTheme="minorHAnsi" w:cstheme="minorHAnsi"/>
                <w:iCs/>
                <w:szCs w:val="22"/>
              </w:rPr>
              <w:t xml:space="preserve">candidate will participate in the </w:t>
            </w:r>
            <w:r w:rsidR="00DB3B2F">
              <w:rPr>
                <w:rFonts w:asciiTheme="minorHAnsi" w:hAnsiTheme="minorHAnsi" w:cstheme="minorHAnsi"/>
                <w:iCs/>
                <w:szCs w:val="22"/>
              </w:rPr>
              <w:t>Doctoral Academy Training Programme of the Faculty of Medicine, Biology &amp; Health</w:t>
            </w:r>
            <w:r w:rsidR="00AA03AB">
              <w:rPr>
                <w:rFonts w:asciiTheme="minorHAnsi" w:hAnsiTheme="minorHAnsi" w:cstheme="minorHAnsi"/>
                <w:iCs/>
                <w:szCs w:val="22"/>
              </w:rPr>
              <w:t xml:space="preserve"> (FBMH)</w:t>
            </w:r>
            <w:r w:rsidR="00DB3B2F">
              <w:rPr>
                <w:rFonts w:asciiTheme="minorHAnsi" w:hAnsiTheme="minorHAnsi" w:cstheme="minorHAnsi"/>
                <w:iCs/>
                <w:szCs w:val="22"/>
              </w:rPr>
              <w:t>. It comprises of personal and professional training and development that can be tailored to the individual candidate’s learning needs</w:t>
            </w:r>
            <w:r w:rsidR="00A972E8">
              <w:rPr>
                <w:rFonts w:asciiTheme="minorHAnsi" w:hAnsiTheme="minorHAnsi" w:cstheme="minorHAnsi"/>
                <w:iCs/>
                <w:szCs w:val="22"/>
              </w:rPr>
              <w:t xml:space="preserve"> and ambitions</w:t>
            </w:r>
            <w:r w:rsidR="00DB3B2F">
              <w:rPr>
                <w:rFonts w:asciiTheme="minorHAnsi" w:hAnsiTheme="minorHAnsi" w:cstheme="minorHAnsi"/>
                <w:iCs/>
                <w:szCs w:val="22"/>
              </w:rPr>
              <w:t xml:space="preserve">. Training is aligned to the </w:t>
            </w:r>
            <w:r w:rsidR="00DA4011">
              <w:rPr>
                <w:rFonts w:asciiTheme="minorHAnsi" w:hAnsiTheme="minorHAnsi" w:cstheme="minorHAnsi"/>
                <w:iCs/>
                <w:szCs w:val="22"/>
              </w:rPr>
              <w:t>nationally agreed</w:t>
            </w:r>
            <w:r w:rsidR="00DB3B2F">
              <w:rPr>
                <w:rFonts w:asciiTheme="minorHAnsi" w:hAnsiTheme="minorHAnsi" w:cstheme="minorHAnsi"/>
                <w:iCs/>
                <w:szCs w:val="22"/>
              </w:rPr>
              <w:t xml:space="preserve"> Researcher Development Framework, with access to a wider programme of Researcher Development Training delivered by the University for staff and post-graduate researchers.</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A7365FA" w14:textId="4E755710" w:rsidR="00EA7C68" w:rsidRPr="00A972E8" w:rsidRDefault="00EA7C68" w:rsidP="00B32C43">
            <w:pPr>
              <w:pStyle w:val="BodyText2"/>
              <w:tabs>
                <w:tab w:val="clear" w:pos="720"/>
              </w:tabs>
              <w:jc w:val="both"/>
              <w:rPr>
                <w:rFonts w:asciiTheme="minorHAnsi" w:hAnsiTheme="minorHAnsi" w:cs="Arial"/>
                <w:szCs w:val="22"/>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A972E8">
              <w:rPr>
                <w:rFonts w:ascii="Calibri" w:hAnsi="Calibri" w:cs="Calibri"/>
                <w:szCs w:val="22"/>
              </w:rPr>
              <w:t>Clinical academic trainees in Greater Manchester receive support from the Integrated Clinical Academic Training (ICAT) programme, with access to trainee networking events and research showcases to build new collaborations.</w:t>
            </w:r>
            <w:r w:rsidR="00A972E8">
              <w:rPr>
                <w:rFonts w:ascii="Calibri" w:hAnsi="Calibri" w:cs="Calibri"/>
                <w:szCs w:val="22"/>
              </w:rPr>
              <w:t xml:space="preserve"> </w:t>
            </w:r>
            <w:r w:rsidR="00A972E8">
              <w:rPr>
                <w:rFonts w:asciiTheme="minorHAnsi" w:hAnsiTheme="minorHAnsi" w:cs="Arial"/>
                <w:szCs w:val="22"/>
              </w:rPr>
              <w:t xml:space="preserve">PhD students at </w:t>
            </w:r>
            <w:r w:rsidR="00DA4011">
              <w:rPr>
                <w:rFonts w:asciiTheme="minorHAnsi" w:hAnsiTheme="minorHAnsi" w:cs="Arial"/>
                <w:szCs w:val="22"/>
              </w:rPr>
              <w:t xml:space="preserve">the </w:t>
            </w:r>
            <w:r w:rsidR="00DA4011" w:rsidRPr="00AE71AC">
              <w:rPr>
                <w:rFonts w:ascii="Calibri" w:hAnsi="Calibri" w:cs="Calibri"/>
                <w:szCs w:val="22"/>
              </w:rPr>
              <w:t>Centre</w:t>
            </w:r>
            <w:r w:rsidR="00DA4011">
              <w:rPr>
                <w:rFonts w:ascii="Calibri" w:hAnsi="Calibri" w:cs="Calibri"/>
                <w:szCs w:val="22"/>
              </w:rPr>
              <w:t xml:space="preserve"> for Primary Care &amp; Health Services Research (CPCHSR) </w:t>
            </w:r>
            <w:r w:rsidR="00881CA5">
              <w:rPr>
                <w:rFonts w:ascii="Calibri" w:hAnsi="Calibri" w:cs="Calibri"/>
                <w:szCs w:val="22"/>
              </w:rPr>
              <w:t>can</w:t>
            </w:r>
            <w:r w:rsidR="00AA03AB">
              <w:rPr>
                <w:rFonts w:ascii="Calibri" w:hAnsi="Calibri" w:cs="Calibri"/>
                <w:szCs w:val="22"/>
              </w:rPr>
              <w:t xml:space="preserve"> access seminars run by the Centre and other research departments within FBMH</w:t>
            </w:r>
            <w:r w:rsidR="00A972E8">
              <w:rPr>
                <w:rFonts w:ascii="Calibri" w:hAnsi="Calibri" w:cs="Calibri"/>
                <w:szCs w:val="22"/>
              </w:rPr>
              <w:t xml:space="preserve"> spanning a range of disciplines and research methodologies</w:t>
            </w:r>
            <w:r w:rsidR="00AA03AB">
              <w:rPr>
                <w:rFonts w:ascii="Calibri" w:hAnsi="Calibri" w:cs="Calibri"/>
                <w:szCs w:val="22"/>
              </w:rPr>
              <w:t>.</w:t>
            </w:r>
            <w:r w:rsidR="00881CA5">
              <w:rPr>
                <w:rFonts w:ascii="Calibri" w:hAnsi="Calibri" w:cs="Calibri"/>
                <w:szCs w:val="22"/>
              </w:rPr>
              <w:t xml:space="preserve"> </w:t>
            </w:r>
            <w:r w:rsidR="00A972E8">
              <w:rPr>
                <w:rFonts w:ascii="Calibri" w:hAnsi="Calibri" w:cs="Calibri"/>
                <w:szCs w:val="22"/>
              </w:rPr>
              <w:t>D</w:t>
            </w:r>
            <w:r w:rsidR="00881CA5">
              <w:rPr>
                <w:rFonts w:ascii="Calibri" w:hAnsi="Calibri" w:cs="Calibri"/>
                <w:szCs w:val="22"/>
              </w:rPr>
              <w:t xml:space="preserve">octoral training workshops and conferences organised by the NIHR SPCR, NIHR Academy, and </w:t>
            </w:r>
            <w:proofErr w:type="spellStart"/>
            <w:r w:rsidR="00881CA5">
              <w:rPr>
                <w:rFonts w:ascii="Calibri" w:hAnsi="Calibri" w:cs="Calibri"/>
                <w:szCs w:val="22"/>
              </w:rPr>
              <w:t>Wellcome</w:t>
            </w:r>
            <w:proofErr w:type="spellEnd"/>
            <w:r w:rsidR="00881CA5">
              <w:rPr>
                <w:rFonts w:ascii="Calibri" w:hAnsi="Calibri" w:cs="Calibri"/>
                <w:szCs w:val="22"/>
              </w:rPr>
              <w:t xml:space="preserve"> Trust</w:t>
            </w:r>
            <w:r w:rsidR="00A972E8">
              <w:rPr>
                <w:rFonts w:ascii="Calibri" w:hAnsi="Calibri" w:cs="Calibri"/>
                <w:szCs w:val="22"/>
              </w:rPr>
              <w:t xml:space="preserve"> are also available to attend</w:t>
            </w:r>
            <w:r w:rsidR="00881CA5">
              <w:rPr>
                <w:rFonts w:ascii="Calibri" w:hAnsi="Calibri" w:cs="Calibri"/>
                <w:szCs w:val="22"/>
              </w:rPr>
              <w:t xml:space="preserve">. </w:t>
            </w:r>
            <w:r w:rsidR="00A972E8">
              <w:rPr>
                <w:rFonts w:ascii="Calibri" w:hAnsi="Calibri" w:cs="Calibri"/>
                <w:szCs w:val="22"/>
              </w:rPr>
              <w:t xml:space="preserve">Candidates will be encouraged to participate in Early career researcher </w:t>
            </w:r>
            <w:r w:rsidR="00881CA5">
              <w:rPr>
                <w:rFonts w:ascii="Calibri" w:hAnsi="Calibri" w:cs="Calibri"/>
                <w:szCs w:val="22"/>
              </w:rPr>
              <w:t xml:space="preserve">mentoring programmes within the University </w:t>
            </w:r>
            <w:r w:rsidR="00A972E8">
              <w:rPr>
                <w:rFonts w:ascii="Calibri" w:hAnsi="Calibri" w:cs="Calibri"/>
                <w:szCs w:val="22"/>
              </w:rPr>
              <w:t xml:space="preserve">of Manchester </w:t>
            </w:r>
            <w:r w:rsidR="00881CA5">
              <w:rPr>
                <w:rFonts w:ascii="Calibri" w:hAnsi="Calibri" w:cs="Calibri"/>
                <w:szCs w:val="22"/>
              </w:rPr>
              <w:t>and the NIHR.</w:t>
            </w:r>
            <w:r w:rsidR="008821D7">
              <w:rPr>
                <w:rFonts w:ascii="Calibri" w:hAnsi="Calibri" w:cs="Calibri"/>
                <w:szCs w:val="22"/>
              </w:rPr>
              <w:t xml:space="preserve"> </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3ED2B2F" w14:textId="27C59D37"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A972E8">
              <w:rPr>
                <w:rFonts w:asciiTheme="minorHAnsi" w:hAnsiTheme="minorHAnsi" w:cs="Arial"/>
                <w:iCs/>
                <w:szCs w:val="24"/>
              </w:rPr>
              <w:t>CPCHSR</w:t>
            </w:r>
            <w:r w:rsidR="00A972E8">
              <w:rPr>
                <w:rFonts w:ascii="Calibri" w:hAnsi="Calibri" w:cs="Calibri"/>
                <w:szCs w:val="22"/>
              </w:rPr>
              <w:t xml:space="preserve"> hosts a dedicated PPIE group and has strong connections with voluntary sector organisations to enable inclusive involvement and participation in research. </w:t>
            </w:r>
            <w:r w:rsidR="00DA4011">
              <w:rPr>
                <w:rFonts w:asciiTheme="minorHAnsi" w:hAnsiTheme="minorHAnsi" w:cs="Arial"/>
                <w:iCs/>
                <w:szCs w:val="24"/>
              </w:rPr>
              <w:t>CPCHSR</w:t>
            </w:r>
            <w:r w:rsidR="00D8366F">
              <w:rPr>
                <w:rFonts w:ascii="Calibri" w:hAnsi="Calibri" w:cs="Calibri"/>
                <w:szCs w:val="22"/>
              </w:rPr>
              <w:t xml:space="preserve"> ensures equality, diversity</w:t>
            </w:r>
            <w:r w:rsidR="00042507">
              <w:rPr>
                <w:rFonts w:ascii="Calibri" w:hAnsi="Calibri" w:cs="Calibri"/>
                <w:szCs w:val="22"/>
              </w:rPr>
              <w:t>,</w:t>
            </w:r>
            <w:r w:rsidR="00D8366F">
              <w:rPr>
                <w:rFonts w:ascii="Calibri" w:hAnsi="Calibri" w:cs="Calibri"/>
                <w:szCs w:val="22"/>
              </w:rPr>
              <w:t xml:space="preserve"> and inclusion (EDI) is prioritised across strategies for PPIE and capacity building and </w:t>
            </w:r>
            <w:r w:rsidR="00D8366F" w:rsidRPr="00AE71AC">
              <w:rPr>
                <w:rFonts w:ascii="Calibri" w:hAnsi="Calibri" w:cs="Calibri"/>
                <w:szCs w:val="22"/>
              </w:rPr>
              <w:t xml:space="preserve">is committed to engaging with patients and </w:t>
            </w:r>
            <w:r w:rsidR="00D8366F">
              <w:rPr>
                <w:rFonts w:ascii="Calibri" w:hAnsi="Calibri" w:cs="Calibri"/>
                <w:szCs w:val="22"/>
              </w:rPr>
              <w:t>diverse communities</w:t>
            </w:r>
            <w:r w:rsidR="00D8366F" w:rsidRPr="00AE71AC">
              <w:rPr>
                <w:rFonts w:ascii="Calibri" w:hAnsi="Calibri" w:cs="Calibri"/>
                <w:szCs w:val="22"/>
              </w:rPr>
              <w:t xml:space="preserve"> </w:t>
            </w:r>
            <w:r w:rsidR="00D8366F">
              <w:rPr>
                <w:rFonts w:ascii="Calibri" w:hAnsi="Calibri" w:cs="Calibri"/>
                <w:szCs w:val="22"/>
              </w:rPr>
              <w:t xml:space="preserve">for all stages of </w:t>
            </w:r>
            <w:r w:rsidR="00D8366F" w:rsidRPr="00AE71AC">
              <w:rPr>
                <w:rFonts w:ascii="Calibri" w:hAnsi="Calibri" w:cs="Calibri"/>
                <w:szCs w:val="22"/>
              </w:rPr>
              <w:t xml:space="preserve">research that is inclusive for all. </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0600A" w14:textId="77777777" w:rsidR="00C43804" w:rsidRDefault="00C43804" w:rsidP="008A5DEB">
      <w:pPr>
        <w:spacing w:after="0" w:line="240" w:lineRule="auto"/>
      </w:pPr>
      <w:r>
        <w:separator/>
      </w:r>
    </w:p>
  </w:endnote>
  <w:endnote w:type="continuationSeparator" w:id="0">
    <w:p w14:paraId="0C992715" w14:textId="77777777" w:rsidR="00C43804" w:rsidRDefault="00C43804"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1DBC" w14:textId="77777777" w:rsidR="00C43804" w:rsidRDefault="00C43804" w:rsidP="008A5DEB">
      <w:pPr>
        <w:spacing w:after="0" w:line="240" w:lineRule="auto"/>
      </w:pPr>
      <w:r>
        <w:separator/>
      </w:r>
    </w:p>
  </w:footnote>
  <w:footnote w:type="continuationSeparator" w:id="0">
    <w:p w14:paraId="76F34184" w14:textId="77777777" w:rsidR="00C43804" w:rsidRDefault="00C43804"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1A18"/>
    <w:rsid w:val="00026DA0"/>
    <w:rsid w:val="00042507"/>
    <w:rsid w:val="00056752"/>
    <w:rsid w:val="00071DC2"/>
    <w:rsid w:val="0009232A"/>
    <w:rsid w:val="0009688E"/>
    <w:rsid w:val="000B7F1F"/>
    <w:rsid w:val="000D55BF"/>
    <w:rsid w:val="000D55F7"/>
    <w:rsid w:val="00124198"/>
    <w:rsid w:val="00140508"/>
    <w:rsid w:val="00180A1A"/>
    <w:rsid w:val="001866E9"/>
    <w:rsid w:val="001D693B"/>
    <w:rsid w:val="001E0940"/>
    <w:rsid w:val="00220D1C"/>
    <w:rsid w:val="002304B1"/>
    <w:rsid w:val="00244693"/>
    <w:rsid w:val="00274ACB"/>
    <w:rsid w:val="002A1B47"/>
    <w:rsid w:val="002B0282"/>
    <w:rsid w:val="002E517D"/>
    <w:rsid w:val="002F31FE"/>
    <w:rsid w:val="00323521"/>
    <w:rsid w:val="00336555"/>
    <w:rsid w:val="00362B4E"/>
    <w:rsid w:val="00420545"/>
    <w:rsid w:val="00434D63"/>
    <w:rsid w:val="0047180B"/>
    <w:rsid w:val="0047474B"/>
    <w:rsid w:val="004B6725"/>
    <w:rsid w:val="004C1191"/>
    <w:rsid w:val="004D3079"/>
    <w:rsid w:val="004E3BC1"/>
    <w:rsid w:val="004F0E82"/>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183F"/>
    <w:rsid w:val="00787EF3"/>
    <w:rsid w:val="007B2596"/>
    <w:rsid w:val="007D279E"/>
    <w:rsid w:val="007E11EC"/>
    <w:rsid w:val="008245A9"/>
    <w:rsid w:val="0082712F"/>
    <w:rsid w:val="008410F0"/>
    <w:rsid w:val="008448FF"/>
    <w:rsid w:val="00852F2F"/>
    <w:rsid w:val="00864E61"/>
    <w:rsid w:val="00873A17"/>
    <w:rsid w:val="008748FD"/>
    <w:rsid w:val="00881CA5"/>
    <w:rsid w:val="008821D7"/>
    <w:rsid w:val="008920EB"/>
    <w:rsid w:val="00895F21"/>
    <w:rsid w:val="008A2C2E"/>
    <w:rsid w:val="008A5DEB"/>
    <w:rsid w:val="008B2CD4"/>
    <w:rsid w:val="008C0369"/>
    <w:rsid w:val="008F66D0"/>
    <w:rsid w:val="009048D1"/>
    <w:rsid w:val="00913671"/>
    <w:rsid w:val="00915498"/>
    <w:rsid w:val="00922E15"/>
    <w:rsid w:val="00927699"/>
    <w:rsid w:val="00937477"/>
    <w:rsid w:val="00956790"/>
    <w:rsid w:val="0095795B"/>
    <w:rsid w:val="00995FE5"/>
    <w:rsid w:val="009A59ED"/>
    <w:rsid w:val="009A63D4"/>
    <w:rsid w:val="009C4BA9"/>
    <w:rsid w:val="009D734F"/>
    <w:rsid w:val="009F24DA"/>
    <w:rsid w:val="009F78EF"/>
    <w:rsid w:val="00A16F3D"/>
    <w:rsid w:val="00A23D70"/>
    <w:rsid w:val="00A87625"/>
    <w:rsid w:val="00A940BF"/>
    <w:rsid w:val="00A95FCB"/>
    <w:rsid w:val="00A972E8"/>
    <w:rsid w:val="00AA03AB"/>
    <w:rsid w:val="00AA2D17"/>
    <w:rsid w:val="00AC5D34"/>
    <w:rsid w:val="00AC69F6"/>
    <w:rsid w:val="00AE5175"/>
    <w:rsid w:val="00B22CB1"/>
    <w:rsid w:val="00B307D0"/>
    <w:rsid w:val="00B32C43"/>
    <w:rsid w:val="00B6610D"/>
    <w:rsid w:val="00BE4A79"/>
    <w:rsid w:val="00C07FA2"/>
    <w:rsid w:val="00C20B6D"/>
    <w:rsid w:val="00C258FF"/>
    <w:rsid w:val="00C27AF5"/>
    <w:rsid w:val="00C43804"/>
    <w:rsid w:val="00C5012C"/>
    <w:rsid w:val="00C61C47"/>
    <w:rsid w:val="00C6532A"/>
    <w:rsid w:val="00C87565"/>
    <w:rsid w:val="00C971CE"/>
    <w:rsid w:val="00CD249B"/>
    <w:rsid w:val="00D577BA"/>
    <w:rsid w:val="00D60AB7"/>
    <w:rsid w:val="00D8366F"/>
    <w:rsid w:val="00D8388E"/>
    <w:rsid w:val="00D863E1"/>
    <w:rsid w:val="00DA4011"/>
    <w:rsid w:val="00DB3B2F"/>
    <w:rsid w:val="00DB5AB9"/>
    <w:rsid w:val="00DC295E"/>
    <w:rsid w:val="00DC30E2"/>
    <w:rsid w:val="00DD21ED"/>
    <w:rsid w:val="00DD4BC9"/>
    <w:rsid w:val="00DE64A4"/>
    <w:rsid w:val="00E0356E"/>
    <w:rsid w:val="00E10084"/>
    <w:rsid w:val="00E72B42"/>
    <w:rsid w:val="00EA5F1E"/>
    <w:rsid w:val="00EA7C68"/>
    <w:rsid w:val="00EC6D60"/>
    <w:rsid w:val="00ED3CFA"/>
    <w:rsid w:val="00EE4F53"/>
    <w:rsid w:val="00EE7184"/>
    <w:rsid w:val="00EF0212"/>
    <w:rsid w:val="00F36BC7"/>
    <w:rsid w:val="00FA7566"/>
    <w:rsid w:val="00FD5F00"/>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tchs.a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9374B"/>
    <w:rsid w:val="002D5D4E"/>
    <w:rsid w:val="002F3C45"/>
    <w:rsid w:val="003E2CE9"/>
    <w:rsid w:val="00424E01"/>
    <w:rsid w:val="00523A25"/>
    <w:rsid w:val="005E6D53"/>
    <w:rsid w:val="005F1D88"/>
    <w:rsid w:val="00607F77"/>
    <w:rsid w:val="007C5757"/>
    <w:rsid w:val="009213BD"/>
    <w:rsid w:val="009A4C2B"/>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E01"/>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3.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0A1BDC16-A2A0-4632-B898-DD13166B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Ben Brown</cp:lastModifiedBy>
  <cp:revision>10</cp:revision>
  <cp:lastPrinted>2022-01-11T06:49:00Z</cp:lastPrinted>
  <dcterms:created xsi:type="dcterms:W3CDTF">2023-09-11T09:42:00Z</dcterms:created>
  <dcterms:modified xsi:type="dcterms:W3CDTF">2023-09-13T16:15:00Z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