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002A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43A9FEE1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Content>
                <w:r w:rsidR="00C04E06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Manchester</w:t>
                </w:r>
              </w:sdtContent>
            </w:sdt>
          </w:p>
        </w:tc>
      </w:tr>
      <w:tr w:rsidR="008A5DEB" w:rsidRPr="00323521" w14:paraId="2A8FCC68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1093D401" w:rsidR="008A5DEB" w:rsidRPr="00323521" w:rsidRDefault="00FF6AE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="008A5DEB" w:rsidRPr="00323521" w14:paraId="082EE4C0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3ED61D62" w:rsidR="00220D1C" w:rsidRPr="00E528AB" w:rsidRDefault="001F2444" w:rsidP="00220D1C">
            <w:pPr>
              <w:spacing w:after="120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E528AB">
              <w:rPr>
                <w:rFonts w:asciiTheme="minorHAnsi" w:hAnsiTheme="minorHAnsi"/>
                <w:b w:val="0"/>
                <w:bCs w:val="0"/>
                <w:szCs w:val="24"/>
              </w:rPr>
              <w:t xml:space="preserve">A human-centred design approach to medication safety in primary care </w:t>
            </w:r>
          </w:p>
        </w:tc>
      </w:tr>
      <w:tr w:rsidR="00E0356E" w:rsidRPr="00323521" w14:paraId="4977EDC6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45513EC4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="002F31FE" w:rsidRP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</w:tc>
      </w:tr>
      <w:tr w:rsidR="00E0356E" w:rsidRPr="00323521" w14:paraId="6C401CA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DA78CA0" w14:textId="2E64C760" w:rsidR="00220D1C" w:rsidRPr="00BB422F" w:rsidRDefault="00C04E06" w:rsidP="00011A76">
            <w:pPr>
              <w:rPr>
                <w:rFonts w:asciiTheme="minorHAnsi" w:hAnsiTheme="minorHAnsi" w:cstheme="minorHAnsi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Dr Denham Phipps</w:t>
            </w:r>
            <w:r w:rsidR="00091518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(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The University of Manchester</w:t>
            </w:r>
            <w:r w:rsidR="00091518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) is a Lecturer in Patient Safety, with a background in occupational psychology and human factors/ergonomics.  H</w:t>
            </w:r>
            <w:r w:rsidR="0008577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is expertise is in the application of human factors </w:t>
            </w:r>
            <w:r w:rsid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knowledge</w:t>
            </w:r>
            <w:r w:rsidR="0008577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to health services research</w:t>
            </w:r>
            <w:r w:rsidR="0067093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;</w:t>
            </w:r>
            <w:r w:rsidR="0008577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in particular</w:t>
            </w:r>
            <w:r w:rsidR="0067093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,</w:t>
            </w:r>
            <w:r w:rsidR="0008577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regarding </w:t>
            </w:r>
            <w:r w:rsid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patient</w:t>
            </w:r>
            <w:r w:rsidR="0008577D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safety and practitioner fitness to practise.</w:t>
            </w:r>
            <w:r w:rsid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 He works with the NIHR Greater Manchester Patient Safety Research Collaboration.</w:t>
            </w:r>
          </w:p>
          <w:p w14:paraId="5573CE72" w14:textId="77777777" w:rsidR="0008577D" w:rsidRPr="00BB422F" w:rsidRDefault="0008577D" w:rsidP="00011A76">
            <w:pPr>
              <w:rPr>
                <w:rFonts w:asciiTheme="minorHAnsi" w:hAnsiTheme="minorHAnsi" w:cstheme="minorHAnsi"/>
                <w:szCs w:val="24"/>
              </w:rPr>
            </w:pPr>
          </w:p>
          <w:p w14:paraId="0B9D00AC" w14:textId="4335AF89" w:rsidR="00C04E06" w:rsidRPr="00E528AB" w:rsidRDefault="00C04E06" w:rsidP="00011A76">
            <w:pPr>
              <w:rPr>
                <w:rFonts w:asciiTheme="minorHAnsi" w:hAnsiTheme="minorHAnsi" w:cstheme="minorHAnsi"/>
                <w:szCs w:val="24"/>
              </w:rPr>
            </w:pPr>
            <w:r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Prof. Anthony Avery</w:t>
            </w:r>
            <w:r w:rsidR="0008577D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(</w:t>
            </w:r>
            <w:r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University of Nottingham</w:t>
            </w:r>
            <w:r w:rsidR="0008577D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) is a </w:t>
            </w:r>
            <w:r w:rsidR="00C0009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GP and </w:t>
            </w:r>
            <w:r w:rsidR="0008577D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Professor of </w:t>
            </w:r>
            <w:r w:rsidR="00C0009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Primary Health as well as being an NIHR Senior Investigator and National Clinical Director for Prescribing for NHS England. He has an honorary chair from </w:t>
            </w:r>
            <w:r w:rsidR="00E528AB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T</w:t>
            </w:r>
            <w:r w:rsidR="00C0009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he University of Manchester and is medication safety theme co-lead for the N</w:t>
            </w:r>
            <w:r w:rsidR="009358D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IH</w:t>
            </w:r>
            <w:r w:rsidR="00C0009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R Greater Manchester Patient Safety Research Collaboration. He has longstanding interest and expertise in research into prescribing and patient safety.</w:t>
            </w:r>
          </w:p>
          <w:p w14:paraId="0FAB1F75" w14:textId="77777777" w:rsidR="0008577D" w:rsidRPr="00E528AB" w:rsidRDefault="0008577D" w:rsidP="00011A76">
            <w:pPr>
              <w:rPr>
                <w:rFonts w:asciiTheme="minorHAnsi" w:hAnsiTheme="minorHAnsi" w:cstheme="minorHAnsi"/>
                <w:szCs w:val="24"/>
              </w:rPr>
            </w:pPr>
          </w:p>
          <w:p w14:paraId="7C1F9747" w14:textId="73A0C973" w:rsidR="00C04E06" w:rsidRPr="00BB422F" w:rsidRDefault="00C04E06" w:rsidP="00011A76">
            <w:pPr>
              <w:rPr>
                <w:rFonts w:asciiTheme="minorHAnsi" w:hAnsiTheme="minorHAnsi" w:cstheme="minorHAnsi"/>
                <w:szCs w:val="24"/>
              </w:rPr>
            </w:pPr>
            <w:r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Prof. Matthew Boyd</w:t>
            </w:r>
            <w:r w:rsidR="0008577D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(</w:t>
            </w:r>
            <w:r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University of Nottingham</w:t>
            </w:r>
            <w:r w:rsidR="0008577D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) is a Professor of </w:t>
            </w:r>
            <w:r w:rsidR="009358D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Medicines Safety and a registered pharmacist. His research covers a breadth of medicines safety topics including medicines optimisation, technology supported practice</w:t>
            </w:r>
            <w:r w:rsidR="00E528AB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and</w:t>
            </w:r>
            <w:r w:rsidR="009358D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enhancing system and service design in both primary and secondary care. He is also a collaborator with the </w:t>
            </w:r>
            <w:r w:rsidR="00E528AB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NIHR </w:t>
            </w:r>
            <w:r w:rsidR="009358D6" w:rsidRPr="00E528AB">
              <w:rPr>
                <w:rFonts w:asciiTheme="minorHAnsi" w:hAnsiTheme="minorHAnsi" w:cstheme="minorHAnsi"/>
                <w:b w:val="0"/>
                <w:bCs w:val="0"/>
                <w:szCs w:val="24"/>
              </w:rPr>
              <w:t>Greater Manchester Patient Safety Research Collaboration.</w:t>
            </w:r>
          </w:p>
          <w:p w14:paraId="4976C3BE" w14:textId="74256DAC" w:rsidR="00220D1C" w:rsidRPr="00BB422F" w:rsidRDefault="00220D1C" w:rsidP="00C04E06">
            <w:pPr>
              <w:pStyle w:val="ListParagraph"/>
              <w:ind w:left="306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</w:tc>
      </w:tr>
      <w:tr w:rsidR="00787EF3" w:rsidRPr="00323521" w14:paraId="6F63D82B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="00787EF3" w:rsidRPr="00323521" w14:paraId="3C92EF33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00289C2" w14:textId="6B418C5B" w:rsidR="0067093D" w:rsidRPr="00BB422F" w:rsidRDefault="0067093D" w:rsidP="00011A76">
            <w:pPr>
              <w:rPr>
                <w:rFonts w:asciiTheme="minorHAnsi" w:hAnsiTheme="minorHAnsi"/>
                <w:b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szCs w:val="24"/>
              </w:rPr>
              <w:t>This project links to the work of the NIHR Greater Manchester Patient Safety Research Collaboration.  Being affiliated to this centre will provide the candidate with many training and networking opportunities.</w:t>
            </w:r>
          </w:p>
          <w:p w14:paraId="0A02A7AA" w14:textId="77777777" w:rsidR="0067093D" w:rsidRPr="00BB422F" w:rsidRDefault="0067093D" w:rsidP="00011A76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220F35E2" w14:textId="432B6357" w:rsidR="00220D1C" w:rsidRPr="00DD21ED" w:rsidRDefault="0067093D" w:rsidP="00BB422F">
            <w:pPr>
              <w:rPr>
                <w:rFonts w:asciiTheme="minorHAnsi" w:hAnsiTheme="minorHAnsi"/>
                <w:b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szCs w:val="24"/>
              </w:rPr>
              <w:t xml:space="preserve">In addition, </w:t>
            </w:r>
            <w:r w:rsidR="00741409" w:rsidRPr="00BB422F">
              <w:rPr>
                <w:rFonts w:asciiTheme="minorHAnsi" w:hAnsiTheme="minorHAnsi"/>
                <w:b w:val="0"/>
                <w:szCs w:val="24"/>
              </w:rPr>
              <w:t xml:space="preserve">the candidate will have the opportunity to participate in the local primary care research networks at </w:t>
            </w:r>
            <w:r w:rsidRPr="00BB422F">
              <w:rPr>
                <w:rFonts w:asciiTheme="minorHAnsi" w:hAnsiTheme="minorHAnsi"/>
                <w:b w:val="0"/>
                <w:szCs w:val="24"/>
              </w:rPr>
              <w:t>Manchester and Nottingha</w:t>
            </w:r>
            <w:r w:rsidR="00741409" w:rsidRPr="00BB422F">
              <w:rPr>
                <w:rFonts w:asciiTheme="minorHAnsi" w:hAnsiTheme="minorHAnsi"/>
                <w:b w:val="0"/>
                <w:szCs w:val="24"/>
              </w:rPr>
              <w:t>m.  These networks in provide links to external partners in industry and healthcare organisations, as well as in academia.</w:t>
            </w:r>
          </w:p>
        </w:tc>
      </w:tr>
      <w:tr w:rsidR="00E0356E" w:rsidRPr="00323521" w14:paraId="6F97C7C9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DD21ED" w:rsidRDefault="00E0356E">
            <w:pPr>
              <w:rPr>
                <w:rFonts w:asciiTheme="minorHAnsi" w:hAnsiTheme="minorHAnsi"/>
                <w:b w:val="0"/>
                <w:szCs w:val="24"/>
              </w:rPr>
            </w:pPr>
            <w:r w:rsidRPr="00C07FA2">
              <w:rPr>
                <w:rFonts w:asciiTheme="minorHAnsi" w:hAnsiTheme="minorHAnsi"/>
                <w:bCs w:val="0"/>
                <w:color w:val="2E74B5" w:themeColor="accent1" w:themeShade="BF"/>
                <w:sz w:val="28"/>
                <w:szCs w:val="24"/>
              </w:rPr>
              <w:t>Project description</w:t>
            </w:r>
            <w:r w:rsidRPr="00DD21ED">
              <w:rPr>
                <w:rFonts w:asciiTheme="minorHAnsi" w:hAnsiTheme="minorHAnsi"/>
                <w:b w:val="0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295FC3B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601C5984" w14:textId="196E109A" w:rsidR="00FD41FA" w:rsidRPr="00BB422F" w:rsidRDefault="00F86157" w:rsidP="00BB422F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i/>
                <w:iCs/>
                <w:szCs w:val="24"/>
              </w:rPr>
              <w:t>Background</w:t>
            </w:r>
            <w:r w:rsidR="00BB422F" w:rsidRPr="00BB422F">
              <w:rPr>
                <w:rFonts w:asciiTheme="minorHAnsi" w:hAnsiTheme="minorHAnsi" w:cstheme="minorHAnsi"/>
                <w:b w:val="0"/>
                <w:szCs w:val="24"/>
              </w:rPr>
              <w:t xml:space="preserve">: </w:t>
            </w:r>
            <w:r w:rsidR="00091381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Medicines management</w:t>
            </w:r>
            <w:r w:rsidR="00091518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is a key activity across primary care.  That it is carried out in the context of increasing patient complexity, multidisciplinary</w:t>
            </w:r>
            <w:r w:rsidR="00FD41FA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working, </w:t>
            </w:r>
            <w:r w:rsidR="00091518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and opportunities for new technology, </w:t>
            </w:r>
            <w:r w:rsidR="00FD41FA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presents primary care with clinical and organisational challenges.  </w:t>
            </w:r>
            <w:r w:rsidR="00BB422F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Meeting these challenges depends on various aspects of the healthcare organisation</w:t>
            </w:r>
            <w:r w:rsidR="00FD41FA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– tasks, tools, technologies and the working environment –coming together effectively.</w:t>
            </w:r>
            <w:r w:rsidR="00931F1F" w:rsidRPr="00BB422F">
              <w:rPr>
                <w:rFonts w:asciiTheme="minorHAnsi" w:hAnsiTheme="minorHAnsi" w:cstheme="minorHAnsi"/>
                <w:b w:val="0"/>
                <w:bCs w:val="0"/>
                <w:szCs w:val="24"/>
                <w:vertAlign w:val="superscript"/>
              </w:rPr>
              <w:t>1</w:t>
            </w:r>
            <w:r w:rsidR="00FD41FA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 The overarching need is for a </w:t>
            </w:r>
            <w:r w:rsidR="00FD41FA" w:rsidRPr="00BB422F">
              <w:rPr>
                <w:rFonts w:asciiTheme="minorHAnsi" w:hAnsiTheme="minorHAnsi" w:cstheme="minorHAnsi"/>
                <w:b w:val="0"/>
                <w:bCs w:val="0"/>
                <w:i/>
                <w:szCs w:val="24"/>
              </w:rPr>
              <w:t>human-centred</w:t>
            </w:r>
            <w:r w:rsidR="00FD41FA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approach, in which the design of these elements is informed by the requirements, capabilities and limitations of the people who are carrying out the work.</w:t>
            </w:r>
            <w:r w:rsidR="00931F1F" w:rsidRPr="00BB422F">
              <w:rPr>
                <w:rFonts w:asciiTheme="minorHAnsi" w:hAnsiTheme="minorHAnsi" w:cstheme="minorHAnsi"/>
                <w:b w:val="0"/>
                <w:bCs w:val="0"/>
                <w:szCs w:val="24"/>
                <w:vertAlign w:val="superscript"/>
              </w:rPr>
              <w:t>2</w:t>
            </w:r>
          </w:p>
          <w:p w14:paraId="3AA307E0" w14:textId="77777777" w:rsidR="00FD41FA" w:rsidRPr="00BB422F" w:rsidRDefault="00FD41FA" w:rsidP="00BB422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1B71FDEF" w14:textId="3FB9545A" w:rsidR="00FD41FA" w:rsidRPr="00BB422F" w:rsidRDefault="00FD41FA" w:rsidP="00BB422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Previous studies suggest that such an approach has yet to be fully realised in medicines management.  </w:t>
            </w:r>
            <w:r w:rsidR="00BB422F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For example, 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deficiencies in the </w:t>
            </w:r>
            <w:r w:rsidR="00BB422F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general practice 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work system often occur, </w:t>
            </w:r>
            <w:r w:rsidR="00BB422F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to the potential detriment of patient safety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  <w:r w:rsidR="00BB422F" w:rsidRPr="00BB422F">
              <w:rPr>
                <w:rFonts w:asciiTheme="minorHAnsi" w:hAnsiTheme="minorHAnsi" w:cstheme="minorHAnsi"/>
                <w:b w:val="0"/>
                <w:bCs w:val="0"/>
                <w:szCs w:val="24"/>
                <w:vertAlign w:val="superscript"/>
              </w:rPr>
              <w:t>3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 </w:t>
            </w:r>
            <w:r w:rsidR="00091381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Meanwhile, research in community pharmacies has identified the challenges of </w:t>
            </w:r>
            <w:r w:rsidR="00FC1B79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thoroughly </w:t>
            </w:r>
            <w:r w:rsidR="00093B73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reviewing and </w:t>
            </w:r>
            <w:r w:rsidR="00FC1B79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reliably </w:t>
            </w:r>
            <w:r w:rsidR="00091381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dispensing medication</w:t>
            </w:r>
            <w:r w:rsidR="00093B73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in the face of</w:t>
            </w:r>
            <w:r w:rsidR="00931F1F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increasing task complexity and </w:t>
            </w:r>
            <w:r w:rsidR="00FC1B79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demand</w:t>
            </w:r>
            <w:r w:rsidR="00931F1F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  <w:r w:rsidR="00BB422F" w:rsidRPr="00BB422F">
              <w:rPr>
                <w:rFonts w:asciiTheme="minorHAnsi" w:hAnsiTheme="minorHAnsi" w:cstheme="minorHAnsi"/>
                <w:b w:val="0"/>
                <w:bCs w:val="0"/>
                <w:szCs w:val="24"/>
                <w:vertAlign w:val="superscript"/>
              </w:rPr>
              <w:t>4</w:t>
            </w:r>
          </w:p>
          <w:p w14:paraId="7F278054" w14:textId="77777777" w:rsidR="00FD41FA" w:rsidRPr="00BB422F" w:rsidRDefault="00FD41FA" w:rsidP="00BB422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  <w:p w14:paraId="6CA57F78" w14:textId="15E5CF80" w:rsidR="00F86157" w:rsidRPr="00BB422F" w:rsidRDefault="00741409" w:rsidP="00BB422F">
            <w:pPr>
              <w:jc w:val="both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The project proposed here will contribute to </w:t>
            </w:r>
            <w:r w:rsidR="00CF2693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our broader 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programme</w:t>
            </w:r>
            <w:r w:rsidR="00CF2693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of work seeking to understand and address human factors issues in primary care medication safety</w:t>
            </w:r>
            <w:r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</w:p>
          <w:p w14:paraId="4CCF84F1" w14:textId="77777777" w:rsidR="00F86157" w:rsidRPr="00BB422F" w:rsidRDefault="00F86157" w:rsidP="00BB422F">
            <w:pPr>
              <w:jc w:val="both"/>
              <w:rPr>
                <w:rFonts w:asciiTheme="minorHAnsi" w:hAnsiTheme="minorHAnsi"/>
                <w:bCs w:val="0"/>
                <w:szCs w:val="24"/>
              </w:rPr>
            </w:pPr>
          </w:p>
          <w:p w14:paraId="4CF80BF6" w14:textId="61440668" w:rsidR="00F86157" w:rsidRPr="00BB422F" w:rsidRDefault="00F86157" w:rsidP="00BB422F">
            <w:pPr>
              <w:jc w:val="both"/>
              <w:rPr>
                <w:rFonts w:asciiTheme="minorHAnsi" w:hAnsiTheme="minorHAnsi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i/>
                <w:iCs/>
                <w:szCs w:val="24"/>
              </w:rPr>
              <w:t>Aim</w:t>
            </w:r>
            <w:r w:rsidR="00BB422F" w:rsidRPr="00BB422F">
              <w:rPr>
                <w:rFonts w:asciiTheme="minorHAnsi" w:hAnsiTheme="minorHAnsi"/>
                <w:b w:val="0"/>
                <w:szCs w:val="24"/>
              </w:rPr>
              <w:t>: t</w:t>
            </w:r>
            <w:r w:rsidR="00093B73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o </w:t>
            </w:r>
            <w:r w:rsidR="00EE0F57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(i) investigate the role of human factors in primary care medicines management, (ii) generate recommendations for the human-centred design of primary care work</w:t>
            </w:r>
            <w:r w:rsidR="00093B73" w:rsidRPr="00BB422F"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</w:p>
          <w:p w14:paraId="226452F6" w14:textId="77777777" w:rsidR="00F86157" w:rsidRPr="00BB422F" w:rsidRDefault="00F86157" w:rsidP="00BB422F">
            <w:pPr>
              <w:jc w:val="both"/>
              <w:rPr>
                <w:rFonts w:asciiTheme="minorHAnsi" w:hAnsiTheme="minorHAnsi"/>
                <w:b w:val="0"/>
                <w:szCs w:val="24"/>
              </w:rPr>
            </w:pPr>
          </w:p>
          <w:p w14:paraId="007FC0DF" w14:textId="1E83BFA8" w:rsidR="00EE0F57" w:rsidRPr="00BB422F" w:rsidRDefault="00EE0F57" w:rsidP="00BB422F">
            <w:pPr>
              <w:jc w:val="both"/>
              <w:rPr>
                <w:rFonts w:asciiTheme="minorHAnsi" w:hAnsiTheme="minorHAnsi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i/>
                <w:iCs/>
                <w:szCs w:val="24"/>
              </w:rPr>
              <w:t>M</w:t>
            </w:r>
            <w:r w:rsidR="00F86157" w:rsidRPr="00BB422F">
              <w:rPr>
                <w:rFonts w:asciiTheme="minorHAnsi" w:hAnsiTheme="minorHAnsi"/>
                <w:b w:val="0"/>
                <w:i/>
                <w:iCs/>
                <w:szCs w:val="24"/>
              </w:rPr>
              <w:t>ethods</w:t>
            </w:r>
            <w:r w:rsidR="00BB422F" w:rsidRPr="00BB422F">
              <w:rPr>
                <w:rFonts w:asciiTheme="minorHAnsi" w:hAnsiTheme="minorHAnsi"/>
                <w:b w:val="0"/>
                <w:szCs w:val="24"/>
              </w:rPr>
              <w:t xml:space="preserve">: </w:t>
            </w:r>
            <w:r w:rsidR="009175DA" w:rsidRPr="00BB422F">
              <w:rPr>
                <w:rFonts w:asciiTheme="minorHAnsi" w:hAnsiTheme="minorHAnsi"/>
                <w:b w:val="0"/>
                <w:szCs w:val="24"/>
              </w:rPr>
              <w:t>The specific methods will be agreed with the candidate given their skills and interests, but they may include some of the following:</w:t>
            </w:r>
          </w:p>
          <w:p w14:paraId="4A0EF2F3" w14:textId="38BA661F" w:rsidR="009175DA" w:rsidRPr="00BB422F" w:rsidRDefault="009175DA" w:rsidP="00BB422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Systematic or realist review of medication safety literature;</w:t>
            </w:r>
          </w:p>
          <w:p w14:paraId="759D168C" w14:textId="2D122D3D" w:rsidR="009175DA" w:rsidRPr="00BB422F" w:rsidRDefault="009175DA" w:rsidP="00BB422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Collection of qualitative data (e.g. interviews; focus groups) about healthcare professionals’ and service users’ involvement in medicines management;</w:t>
            </w:r>
          </w:p>
          <w:p w14:paraId="18048446" w14:textId="2220CF85" w:rsidR="009175DA" w:rsidRPr="00BB422F" w:rsidRDefault="009175DA" w:rsidP="00BB422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Field observation of medicines management activities</w:t>
            </w:r>
            <w:r w:rsidR="00BB422F" w:rsidRPr="00BB422F">
              <w:rPr>
                <w:rFonts w:asciiTheme="minorHAnsi" w:hAnsiTheme="minorHAnsi"/>
                <w:b w:val="0"/>
                <w:bCs w:val="0"/>
                <w:szCs w:val="24"/>
              </w:rPr>
              <w:t xml:space="preserve"> (e.g. prescribing, dispensing, administration)</w:t>
            </w: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;</w:t>
            </w:r>
          </w:p>
          <w:p w14:paraId="2E5CFBC6" w14:textId="5EDE79E1" w:rsidR="009175DA" w:rsidRPr="00BB422F" w:rsidRDefault="009175DA" w:rsidP="00BB422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Laboratory-based observation of simulated medicines management tasks;</w:t>
            </w:r>
          </w:p>
          <w:p w14:paraId="671FD2BD" w14:textId="5FC5E1C1" w:rsidR="009175DA" w:rsidRPr="00BB422F" w:rsidRDefault="009175DA" w:rsidP="00BB422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Design and evaluation of work design interventions (e.g.</w:t>
            </w:r>
            <w:r w:rsidR="00BB422F" w:rsidRPr="00BB422F">
              <w:rPr>
                <w:rFonts w:asciiTheme="minorHAnsi" w:hAnsiTheme="minorHAnsi"/>
                <w:b w:val="0"/>
                <w:bCs w:val="0"/>
                <w:szCs w:val="24"/>
              </w:rPr>
              <w:t xml:space="preserve"> human-computer interaction</w:t>
            </w:r>
            <w:r w:rsidRPr="00BB422F">
              <w:rPr>
                <w:rFonts w:asciiTheme="minorHAnsi" w:hAnsiTheme="minorHAnsi"/>
                <w:b w:val="0"/>
                <w:bCs w:val="0"/>
                <w:szCs w:val="24"/>
              </w:rPr>
              <w:t>; task allocation)</w:t>
            </w:r>
            <w:r w:rsidR="00BB422F" w:rsidRPr="00BB422F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  <w:p w14:paraId="35417947" w14:textId="77777777" w:rsidR="009175DA" w:rsidRPr="00BB422F" w:rsidRDefault="009175DA" w:rsidP="00BB422F">
            <w:pPr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  <w:p w14:paraId="7B399933" w14:textId="62747B9E" w:rsidR="00FD41FA" w:rsidRPr="00BB422F" w:rsidRDefault="00FD41FA" w:rsidP="00BB422F">
            <w:pPr>
              <w:jc w:val="both"/>
              <w:rPr>
                <w:rFonts w:asciiTheme="minorHAnsi" w:hAnsiTheme="minorHAnsi"/>
                <w:b w:val="0"/>
                <w:i/>
                <w:iCs/>
                <w:szCs w:val="24"/>
              </w:rPr>
            </w:pPr>
            <w:r w:rsidRPr="00BB422F">
              <w:rPr>
                <w:rFonts w:asciiTheme="minorHAnsi" w:hAnsiTheme="minorHAnsi"/>
                <w:b w:val="0"/>
                <w:i/>
                <w:iCs/>
                <w:szCs w:val="24"/>
              </w:rPr>
              <w:t>References</w:t>
            </w:r>
          </w:p>
          <w:p w14:paraId="73E84A8A" w14:textId="247372A3" w:rsidR="00931F1F" w:rsidRPr="00BB422F" w:rsidRDefault="00931F1F" w:rsidP="00BB422F">
            <w:pPr>
              <w:ind w:left="306" w:hanging="306"/>
              <w:rPr>
                <w:rFonts w:asciiTheme="minorHAnsi" w:hAnsiTheme="minorHAnsi" w:cstheme="minorHAnsi"/>
                <w:b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szCs w:val="24"/>
              </w:rPr>
              <w:t xml:space="preserve">1. </w:t>
            </w:r>
            <w:r w:rsidR="00BB422F">
              <w:rPr>
                <w:rFonts w:asciiTheme="minorHAnsi" w:hAnsiTheme="minorHAnsi" w:cstheme="minorHAnsi"/>
                <w:b w:val="0"/>
                <w:szCs w:val="24"/>
              </w:rPr>
              <w:t xml:space="preserve">Holden RJ, et al. SEIPS 2.0: a human factors framework for studying and improving the work of healthcare professionals and patients. </w:t>
            </w:r>
            <w:r w:rsidR="00BB422F">
              <w:rPr>
                <w:rFonts w:asciiTheme="minorHAnsi" w:hAnsiTheme="minorHAnsi" w:cstheme="minorHAnsi"/>
                <w:b w:val="0"/>
                <w:i/>
                <w:iCs/>
                <w:szCs w:val="24"/>
              </w:rPr>
              <w:t>Ergonomics</w:t>
            </w:r>
            <w:r w:rsidR="00BB422F">
              <w:rPr>
                <w:rFonts w:asciiTheme="minorHAnsi" w:hAnsiTheme="minorHAnsi" w:cstheme="minorHAnsi"/>
                <w:b w:val="0"/>
                <w:szCs w:val="24"/>
              </w:rPr>
              <w:t xml:space="preserve"> 2013; 56: 1669-86.</w:t>
            </w:r>
          </w:p>
          <w:p w14:paraId="49034126" w14:textId="4804A9B4" w:rsidR="00931F1F" w:rsidRPr="00BB422F" w:rsidRDefault="00931F1F" w:rsidP="00BB422F">
            <w:pPr>
              <w:ind w:left="306" w:hanging="306"/>
              <w:rPr>
                <w:rFonts w:asciiTheme="minorHAnsi" w:hAnsiTheme="minorHAnsi" w:cstheme="minorHAnsi"/>
                <w:b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FD41FA" w:rsidRPr="00BB422F">
              <w:rPr>
                <w:rFonts w:asciiTheme="minorHAnsi" w:hAnsiTheme="minorHAnsi" w:cstheme="minorHAnsi"/>
                <w:b w:val="0"/>
                <w:szCs w:val="24"/>
              </w:rPr>
              <w:t xml:space="preserve">. </w:t>
            </w:r>
            <w:r w:rsidRPr="00BB422F">
              <w:rPr>
                <w:rFonts w:asciiTheme="minorHAnsi" w:hAnsiTheme="minorHAnsi" w:cstheme="minorHAnsi"/>
                <w:b w:val="0"/>
                <w:szCs w:val="24"/>
              </w:rPr>
              <w:t xml:space="preserve">Sutherland </w:t>
            </w:r>
            <w:r w:rsidR="00BB422F">
              <w:rPr>
                <w:rFonts w:asciiTheme="minorHAnsi" w:hAnsiTheme="minorHAnsi" w:cstheme="minorHAnsi"/>
                <w:b w:val="0"/>
                <w:szCs w:val="24"/>
              </w:rPr>
              <w:t xml:space="preserve">A, </w:t>
            </w:r>
            <w:r w:rsidRPr="00BB422F">
              <w:rPr>
                <w:rFonts w:asciiTheme="minorHAnsi" w:hAnsiTheme="minorHAnsi" w:cstheme="minorHAnsi"/>
                <w:b w:val="0"/>
                <w:szCs w:val="24"/>
              </w:rPr>
              <w:t>Phipps</w:t>
            </w:r>
            <w:r w:rsidR="00BB422F">
              <w:rPr>
                <w:rFonts w:asciiTheme="minorHAnsi" w:hAnsiTheme="minorHAnsi" w:cstheme="minorHAnsi"/>
                <w:b w:val="0"/>
                <w:szCs w:val="24"/>
              </w:rPr>
              <w:t xml:space="preserve"> DL. The rise of human factors in medication safety research. </w:t>
            </w:r>
            <w:r w:rsidR="00BB422F">
              <w:rPr>
                <w:rFonts w:asciiTheme="minorHAnsi" w:hAnsiTheme="minorHAnsi" w:cstheme="minorHAnsi"/>
                <w:b w:val="0"/>
                <w:i/>
                <w:iCs/>
                <w:szCs w:val="24"/>
              </w:rPr>
              <w:t>Jt Comm J Qual Patient Saf</w:t>
            </w:r>
            <w:r w:rsidR="00BB422F">
              <w:rPr>
                <w:rFonts w:asciiTheme="minorHAnsi" w:hAnsiTheme="minorHAnsi" w:cstheme="minorHAnsi"/>
                <w:b w:val="0"/>
                <w:szCs w:val="24"/>
              </w:rPr>
              <w:t xml:space="preserve"> 2020; </w:t>
            </w:r>
            <w:r w:rsidR="001F2444">
              <w:rPr>
                <w:rFonts w:asciiTheme="minorHAnsi" w:hAnsiTheme="minorHAnsi" w:cstheme="minorHAnsi"/>
                <w:b w:val="0"/>
                <w:szCs w:val="24"/>
              </w:rPr>
              <w:t>46: 664-666.</w:t>
            </w:r>
          </w:p>
          <w:p w14:paraId="3EDA3895" w14:textId="343EF6EA" w:rsidR="00FD41FA" w:rsidRPr="00BB422F" w:rsidRDefault="00BB422F" w:rsidP="00BB422F">
            <w:pPr>
              <w:ind w:left="306" w:hanging="306"/>
              <w:rPr>
                <w:rFonts w:asciiTheme="minorHAnsi" w:hAnsiTheme="minorHAnsi" w:cstheme="minorHAnsi"/>
                <w:b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FD41FA" w:rsidRPr="00BB422F">
              <w:rPr>
                <w:rFonts w:asciiTheme="minorHAnsi" w:hAnsiTheme="minorHAnsi" w:cstheme="minorHAnsi"/>
                <w:b w:val="0"/>
                <w:szCs w:val="24"/>
              </w:rPr>
              <w:t>. Avery T, et al. Investigating the prevalence and causes of prescribing errors in general practice: the PRACtICe study. Report to the General Medical Council. Nottingham: The University of Nottingham, 2012.</w:t>
            </w:r>
            <w:r w:rsidR="001F2444" w:rsidRPr="001F2444">
              <w:rPr>
                <w:rFonts w:asciiTheme="minorHAnsi" w:hAnsiTheme="minorHAnsi" w:cstheme="minorHAnsi"/>
                <w:b w:val="0"/>
                <w:szCs w:val="24"/>
              </w:rPr>
              <w:t xml:space="preserve">  </w:t>
            </w:r>
            <w:hyperlink r:id="rId11" w:history="1">
              <w:r w:rsidR="001F2444" w:rsidRPr="001F2444">
                <w:rPr>
                  <w:rStyle w:val="Hyperlink"/>
                  <w:rFonts w:asciiTheme="minorHAnsi" w:hAnsiTheme="minorHAnsi" w:cstheme="minorHAnsi"/>
                  <w:b w:val="0"/>
                  <w:szCs w:val="24"/>
                </w:rPr>
                <w:t>https://www.gmc-uk.org/about/what-we-do-and-why/data-and-research/research-and-insight-archive/investigating-the-prevalence-and-causes-of-prescribing-errors-in-general-practice</w:t>
              </w:r>
            </w:hyperlink>
            <w:r w:rsidR="001F2444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14:paraId="4E8397B4" w14:textId="4D4173E8" w:rsidR="00FD41FA" w:rsidRPr="001F2444" w:rsidRDefault="00BB422F" w:rsidP="00BB422F">
            <w:pPr>
              <w:ind w:left="306" w:hanging="306"/>
              <w:rPr>
                <w:rFonts w:asciiTheme="minorHAnsi" w:hAnsiTheme="minorHAnsi"/>
                <w:b w:val="0"/>
                <w:szCs w:val="24"/>
              </w:rPr>
            </w:pPr>
            <w:r w:rsidRPr="00BB422F">
              <w:rPr>
                <w:rFonts w:asciiTheme="minorHAnsi" w:hAnsiTheme="minorHAnsi" w:cstheme="minorHAnsi"/>
                <w:b w:val="0"/>
                <w:szCs w:val="24"/>
              </w:rPr>
              <w:t>4. Ashour</w:t>
            </w:r>
            <w:r w:rsidR="001F2444">
              <w:rPr>
                <w:rFonts w:asciiTheme="minorHAnsi" w:hAnsiTheme="minorHAnsi" w:cstheme="minorHAnsi"/>
                <w:b w:val="0"/>
                <w:szCs w:val="24"/>
              </w:rPr>
              <w:t xml:space="preserve"> AA, et al. Mind the gap: examining work-as-imagined and work-as-done when dispensing medication in the community pharmacy setting. </w:t>
            </w:r>
            <w:r w:rsidR="001F2444">
              <w:rPr>
                <w:rFonts w:asciiTheme="minorHAnsi" w:hAnsiTheme="minorHAnsi" w:cstheme="minorHAnsi"/>
                <w:b w:val="0"/>
                <w:i/>
                <w:iCs/>
                <w:szCs w:val="24"/>
              </w:rPr>
              <w:t>Appl Ergon</w:t>
            </w:r>
            <w:r w:rsidR="001F2444">
              <w:rPr>
                <w:rFonts w:asciiTheme="minorHAnsi" w:hAnsiTheme="minorHAnsi" w:cstheme="minorHAnsi"/>
                <w:b w:val="0"/>
                <w:szCs w:val="24"/>
              </w:rPr>
              <w:t xml:space="preserve"> 93: 103372.</w:t>
            </w:r>
          </w:p>
        </w:tc>
      </w:tr>
      <w:tr w:rsidR="002F31FE" w:rsidRPr="00323521" w14:paraId="0540F925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467D48" w14:textId="17780CF5" w:rsidR="002F31FE" w:rsidRPr="002F31FE" w:rsidRDefault="002F31FE" w:rsidP="002F31F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lastRenderedPageBreak/>
              <w:t>Indicative p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roject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costs:                         </w:t>
            </w:r>
          </w:p>
        </w:tc>
      </w:tr>
      <w:tr w:rsidR="002F31FE" w:rsidRPr="00323521" w14:paraId="1060F06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D64AB2B" w14:textId="77777777" w:rsidR="00E3303F" w:rsidRDefault="00E3303F" w:rsidP="00E3303F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Salary: 36-month full-time salary (pro rata if part time) £73,367 – £95,104 pa.</w:t>
            </w:r>
          </w:p>
          <w:p w14:paraId="7010444C" w14:textId="77777777" w:rsidR="00DD7132" w:rsidRDefault="00082437" w:rsidP="001F2444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Tuition and training: £10k pa</w:t>
            </w:r>
          </w:p>
          <w:p w14:paraId="7949697E" w14:textId="6E87E835" w:rsidR="00082437" w:rsidRPr="00220D1C" w:rsidRDefault="00082437" w:rsidP="001F2444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Research costs: </w:t>
            </w:r>
            <w:r w:rsidR="00F979EB">
              <w:rPr>
                <w:rFonts w:asciiTheme="minorHAnsi" w:hAnsiTheme="minorHAnsi"/>
                <w:szCs w:val="24"/>
              </w:rPr>
              <w:t>£</w:t>
            </w:r>
            <w:r w:rsidR="00A26EFC">
              <w:rPr>
                <w:rFonts w:asciiTheme="minorHAnsi" w:hAnsiTheme="minorHAnsi"/>
                <w:szCs w:val="24"/>
              </w:rPr>
              <w:t>10k</w:t>
            </w:r>
          </w:p>
        </w:tc>
      </w:tr>
      <w:tr w:rsidR="00E0356E" w:rsidRPr="00323521" w14:paraId="3B8B9ED2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BB16FE4" w14:textId="7A2D5C0C" w:rsidR="00274ACB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Formal training:</w:t>
            </w:r>
          </w:p>
          <w:p w14:paraId="304C3E5E" w14:textId="6CC58542" w:rsidR="00E0356E" w:rsidRDefault="001F2444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Postgraduate course</w:t>
            </w:r>
            <w:r w:rsidR="003125C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F86157">
              <w:rPr>
                <w:rFonts w:asciiTheme="minorHAnsi" w:hAnsiTheme="minorHAnsi" w:cs="Arial"/>
                <w:sz w:val="24"/>
                <w:szCs w:val="24"/>
              </w:rPr>
              <w:t xml:space="preserve">units </w:t>
            </w:r>
            <w:r w:rsidR="003125C5">
              <w:rPr>
                <w:rFonts w:asciiTheme="minorHAnsi" w:hAnsiTheme="minorHAnsi" w:cs="Arial"/>
                <w:sz w:val="24"/>
                <w:szCs w:val="24"/>
              </w:rPr>
              <w:t xml:space="preserve">in qualitative and quantitative research from </w:t>
            </w:r>
            <w:r>
              <w:rPr>
                <w:rFonts w:asciiTheme="minorHAnsi" w:hAnsiTheme="minorHAnsi" w:cs="Arial"/>
                <w:sz w:val="24"/>
                <w:szCs w:val="24"/>
              </w:rPr>
              <w:t>The University of Manchester</w:t>
            </w:r>
          </w:p>
          <w:p w14:paraId="411E72CB" w14:textId="08E90D3C" w:rsidR="00F86157" w:rsidRPr="00323521" w:rsidRDefault="003125C5" w:rsidP="00F86157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Cs w:val="0"/>
                <w:sz w:val="24"/>
                <w:szCs w:val="24"/>
              </w:rPr>
              <w:t xml:space="preserve">Courses in </w:t>
            </w:r>
            <w:r w:rsidR="00F86157">
              <w:rPr>
                <w:rFonts w:asciiTheme="minorHAnsi" w:hAnsiTheme="minorHAnsi" w:cs="Arial"/>
                <w:bCs w:val="0"/>
                <w:sz w:val="24"/>
                <w:szCs w:val="24"/>
              </w:rPr>
              <w:t>researcher skills (e.g. project management; research computing; dissemination and impact) from</w:t>
            </w:r>
            <w:r>
              <w:rPr>
                <w:rFonts w:asciiTheme="minorHAnsi" w:hAnsiTheme="minorHAnsi" w:cs="Arial"/>
                <w:bCs w:val="0"/>
                <w:sz w:val="24"/>
                <w:szCs w:val="24"/>
              </w:rPr>
              <w:t xml:space="preserve"> </w:t>
            </w:r>
            <w:r w:rsidR="001F2444">
              <w:rPr>
                <w:rFonts w:asciiTheme="minorHAnsi" w:hAnsiTheme="minorHAnsi" w:cs="Arial"/>
                <w:bCs w:val="0"/>
                <w:sz w:val="24"/>
                <w:szCs w:val="24"/>
              </w:rPr>
              <w:t xml:space="preserve">The University of Manchester </w:t>
            </w:r>
            <w:r w:rsidR="00F86157">
              <w:rPr>
                <w:rFonts w:asciiTheme="minorHAnsi" w:hAnsiTheme="minorHAnsi" w:cs="Arial"/>
                <w:bCs w:val="0"/>
                <w:sz w:val="24"/>
                <w:szCs w:val="24"/>
              </w:rPr>
              <w:t>staff and researcher training portfolio</w:t>
            </w:r>
          </w:p>
        </w:tc>
      </w:tr>
      <w:tr w:rsidR="00EA7C68" w:rsidRPr="00323521" w14:paraId="581BD96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0483867" w14:textId="77777777" w:rsidR="00EA7C6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Informal training:</w:t>
            </w: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0A280639" w14:textId="231FE1F4" w:rsidR="00BE1606" w:rsidRDefault="00BE1606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iCs/>
                <w:sz w:val="24"/>
                <w:szCs w:val="24"/>
              </w:rPr>
              <w:t xml:space="preserve">Supervision in the learning and </w:t>
            </w:r>
            <w:r w:rsidR="00011A76">
              <w:rPr>
                <w:rFonts w:asciiTheme="minorHAnsi" w:hAnsiTheme="minorHAnsi" w:cs="Arial"/>
                <w:iCs/>
                <w:sz w:val="24"/>
                <w:szCs w:val="24"/>
              </w:rPr>
              <w:t>use of human factors/ergonomics methods</w:t>
            </w:r>
          </w:p>
          <w:p w14:paraId="1A7365FA" w14:textId="1FBF7A40" w:rsidR="00EA7C68" w:rsidRPr="00915498" w:rsidRDefault="00F86157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iCs/>
                <w:sz w:val="24"/>
                <w:szCs w:val="24"/>
              </w:rPr>
              <w:t>Training</w:t>
            </w:r>
            <w:r w:rsidR="00BE1606">
              <w:rPr>
                <w:rFonts w:asciiTheme="minorHAnsi" w:hAnsiTheme="minorHAnsi" w:cs="Arial"/>
                <w:iCs/>
                <w:sz w:val="24"/>
                <w:szCs w:val="24"/>
              </w:rPr>
              <w:t xml:space="preserve"> in specific research methods and tools as required</w:t>
            </w:r>
          </w:p>
        </w:tc>
      </w:tr>
      <w:tr w:rsidR="00EA7C68" w:rsidRPr="00323521" w14:paraId="76FB9CF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3ED2B2F" w14:textId="77777777" w:rsidR="00852F2F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PPIE</w:t>
            </w:r>
            <w:r w:rsidRPr="00852F2F">
              <w:rPr>
                <w:rFonts w:asciiTheme="minorHAnsi" w:hAnsiTheme="minorHAnsi" w:cs="Arial"/>
                <w:iCs/>
                <w:sz w:val="24"/>
                <w:szCs w:val="24"/>
              </w:rPr>
              <w:t xml:space="preserve">: </w:t>
            </w:r>
          </w:p>
          <w:p w14:paraId="48977F4E" w14:textId="260CC9AB" w:rsidR="00EA7C68" w:rsidRPr="006F719E" w:rsidRDefault="00BE1606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iCs/>
                <w:sz w:val="24"/>
                <w:szCs w:val="24"/>
              </w:rPr>
              <w:t xml:space="preserve">The </w:t>
            </w:r>
            <w:r w:rsidR="001F2444">
              <w:rPr>
                <w:rFonts w:asciiTheme="minorHAnsi" w:hAnsiTheme="minorHAnsi" w:cs="Arial"/>
                <w:iCs/>
                <w:sz w:val="24"/>
                <w:szCs w:val="24"/>
              </w:rPr>
              <w:t>candidate</w:t>
            </w:r>
            <w:r>
              <w:rPr>
                <w:rFonts w:asciiTheme="minorHAnsi" w:hAnsiTheme="minorHAnsi" w:cs="Arial"/>
                <w:iCs/>
                <w:sz w:val="24"/>
                <w:szCs w:val="24"/>
              </w:rPr>
              <w:t xml:space="preserve"> will benefit from our </w:t>
            </w:r>
            <w:r w:rsidR="001F2444">
              <w:rPr>
                <w:rFonts w:asciiTheme="minorHAnsi" w:hAnsiTheme="minorHAnsi" w:cs="Arial"/>
                <w:iCs/>
                <w:sz w:val="24"/>
                <w:szCs w:val="24"/>
              </w:rPr>
              <w:t xml:space="preserve">previous </w:t>
            </w:r>
            <w:r>
              <w:rPr>
                <w:rFonts w:asciiTheme="minorHAnsi" w:hAnsiTheme="minorHAnsi" w:cs="Arial"/>
                <w:iCs/>
                <w:sz w:val="24"/>
                <w:szCs w:val="24"/>
              </w:rPr>
              <w:t xml:space="preserve">experience of </w:t>
            </w:r>
            <w:r w:rsidR="001F2444">
              <w:rPr>
                <w:rFonts w:asciiTheme="minorHAnsi" w:hAnsiTheme="minorHAnsi" w:cs="Arial"/>
                <w:iCs/>
                <w:sz w:val="24"/>
                <w:szCs w:val="24"/>
              </w:rPr>
              <w:t>integrating</w:t>
            </w:r>
            <w:r>
              <w:rPr>
                <w:rFonts w:asciiTheme="minorHAnsi" w:hAnsiTheme="minorHAnsi" w:cs="Arial"/>
                <w:iCs/>
                <w:sz w:val="24"/>
                <w:szCs w:val="24"/>
              </w:rPr>
              <w:t xml:space="preserve"> PPIE into our research, and our existing links with PPIE representatives</w:t>
            </w:r>
            <w:r w:rsidR="001F2444">
              <w:rPr>
                <w:rFonts w:asciiTheme="minorHAnsi" w:hAnsiTheme="minorHAnsi" w:cs="Arial"/>
                <w:iCs/>
                <w:sz w:val="24"/>
                <w:szCs w:val="24"/>
              </w:rPr>
              <w:t xml:space="preserve"> and organisations.  Training and support will be provided to plan and conduct PPIE for this project.</w:t>
            </w:r>
          </w:p>
        </w:tc>
      </w:tr>
    </w:tbl>
    <w:p w14:paraId="0C875D8F" w14:textId="77777777" w:rsidR="00E0356E" w:rsidRPr="00323521" w:rsidRDefault="00E0356E" w:rsidP="00C07FA2">
      <w:pPr>
        <w:rPr>
          <w:rFonts w:asciiTheme="minorHAnsi" w:hAnsiTheme="minorHAnsi"/>
          <w:szCs w:val="24"/>
        </w:rPr>
      </w:pPr>
    </w:p>
    <w:sectPr w:rsidR="00E0356E" w:rsidRPr="00323521" w:rsidSect="00EA7C68">
      <w:headerReference w:type="default" r:id="rId12"/>
      <w:footerReference w:type="defaul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E5BB" w14:textId="77777777" w:rsidR="00CA030C" w:rsidRDefault="00CA030C" w:rsidP="008A5DEB">
      <w:pPr>
        <w:spacing w:after="0" w:line="240" w:lineRule="auto"/>
      </w:pPr>
      <w:r>
        <w:separator/>
      </w:r>
    </w:p>
  </w:endnote>
  <w:endnote w:type="continuationSeparator" w:id="0">
    <w:p w14:paraId="1EFF9E6B" w14:textId="77777777" w:rsidR="00CA030C" w:rsidRDefault="00CA030C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5D2B" w14:textId="77777777" w:rsidR="00CA030C" w:rsidRDefault="00CA030C" w:rsidP="008A5DEB">
      <w:pPr>
        <w:spacing w:after="0" w:line="240" w:lineRule="auto"/>
      </w:pPr>
      <w:r>
        <w:separator/>
      </w:r>
    </w:p>
  </w:footnote>
  <w:footnote w:type="continuationSeparator" w:id="0">
    <w:p w14:paraId="55F9B40E" w14:textId="77777777" w:rsidR="00CA030C" w:rsidRDefault="00CA030C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953B" w14:textId="18668F63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913671">
      <w:rPr>
        <w:rFonts w:ascii="Calibri" w:hAnsi="Calibri" w:cs="Calibri"/>
      </w:rPr>
      <w:t>4</w:t>
    </w:r>
    <w:r w:rsidRPr="00FF6AEA">
      <w:rPr>
        <w:rFonts w:ascii="Calibri" w:hAnsi="Calibri" w:cs="Calibri"/>
      </w:rPr>
      <w:t xml:space="preserve">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B28EF"/>
    <w:multiLevelType w:val="hybridMultilevel"/>
    <w:tmpl w:val="6B10BDB4"/>
    <w:lvl w:ilvl="0" w:tplc="84D2CF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504B1"/>
    <w:multiLevelType w:val="hybridMultilevel"/>
    <w:tmpl w:val="2BACE70E"/>
    <w:lvl w:ilvl="0" w:tplc="1932EA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5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6353">
    <w:abstractNumId w:val="5"/>
  </w:num>
  <w:num w:numId="2" w16cid:durableId="1435437074">
    <w:abstractNumId w:val="4"/>
  </w:num>
  <w:num w:numId="3" w16cid:durableId="1377122504">
    <w:abstractNumId w:val="6"/>
  </w:num>
  <w:num w:numId="4" w16cid:durableId="31078657">
    <w:abstractNumId w:val="3"/>
  </w:num>
  <w:num w:numId="5" w16cid:durableId="1106463586">
    <w:abstractNumId w:val="0"/>
  </w:num>
  <w:num w:numId="6" w16cid:durableId="1854689178">
    <w:abstractNumId w:val="1"/>
  </w:num>
  <w:num w:numId="7" w16cid:durableId="182481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6E"/>
    <w:rsid w:val="00011A76"/>
    <w:rsid w:val="00026DA0"/>
    <w:rsid w:val="00071DC2"/>
    <w:rsid w:val="00082437"/>
    <w:rsid w:val="0008577D"/>
    <w:rsid w:val="00091381"/>
    <w:rsid w:val="00091518"/>
    <w:rsid w:val="0009232A"/>
    <w:rsid w:val="00093B73"/>
    <w:rsid w:val="0009688E"/>
    <w:rsid w:val="000B7F1F"/>
    <w:rsid w:val="000D55BF"/>
    <w:rsid w:val="000D55F7"/>
    <w:rsid w:val="00124198"/>
    <w:rsid w:val="00140508"/>
    <w:rsid w:val="00180A1A"/>
    <w:rsid w:val="001866E9"/>
    <w:rsid w:val="001A2FFD"/>
    <w:rsid w:val="001D693B"/>
    <w:rsid w:val="001E0940"/>
    <w:rsid w:val="001F2444"/>
    <w:rsid w:val="00220D1C"/>
    <w:rsid w:val="002304B1"/>
    <w:rsid w:val="00244693"/>
    <w:rsid w:val="002524C8"/>
    <w:rsid w:val="00274ACB"/>
    <w:rsid w:val="002A1B47"/>
    <w:rsid w:val="002B0282"/>
    <w:rsid w:val="002E517D"/>
    <w:rsid w:val="002F0A00"/>
    <w:rsid w:val="002F31FE"/>
    <w:rsid w:val="003125C5"/>
    <w:rsid w:val="00323521"/>
    <w:rsid w:val="00336555"/>
    <w:rsid w:val="00362B4E"/>
    <w:rsid w:val="0047180B"/>
    <w:rsid w:val="0047474B"/>
    <w:rsid w:val="004B6725"/>
    <w:rsid w:val="004C1191"/>
    <w:rsid w:val="004E3BC1"/>
    <w:rsid w:val="005053DF"/>
    <w:rsid w:val="00515545"/>
    <w:rsid w:val="00515863"/>
    <w:rsid w:val="00531E4D"/>
    <w:rsid w:val="00540F80"/>
    <w:rsid w:val="00553211"/>
    <w:rsid w:val="00587E36"/>
    <w:rsid w:val="005B49E8"/>
    <w:rsid w:val="005C15ED"/>
    <w:rsid w:val="005C4CA2"/>
    <w:rsid w:val="005C7BA0"/>
    <w:rsid w:val="005F1146"/>
    <w:rsid w:val="005F7315"/>
    <w:rsid w:val="00630148"/>
    <w:rsid w:val="0067093D"/>
    <w:rsid w:val="006C6926"/>
    <w:rsid w:val="006F719E"/>
    <w:rsid w:val="00701AD6"/>
    <w:rsid w:val="00703D6A"/>
    <w:rsid w:val="00713AE1"/>
    <w:rsid w:val="00737E94"/>
    <w:rsid w:val="00737F96"/>
    <w:rsid w:val="00741409"/>
    <w:rsid w:val="00741777"/>
    <w:rsid w:val="00741D92"/>
    <w:rsid w:val="00744D9E"/>
    <w:rsid w:val="00747A0E"/>
    <w:rsid w:val="0075747A"/>
    <w:rsid w:val="007769D2"/>
    <w:rsid w:val="00787EF3"/>
    <w:rsid w:val="007B2596"/>
    <w:rsid w:val="007E11EC"/>
    <w:rsid w:val="008245A9"/>
    <w:rsid w:val="0082712F"/>
    <w:rsid w:val="008410F0"/>
    <w:rsid w:val="008448FF"/>
    <w:rsid w:val="00852F2F"/>
    <w:rsid w:val="00873A17"/>
    <w:rsid w:val="008748FD"/>
    <w:rsid w:val="00895F21"/>
    <w:rsid w:val="008A2C2E"/>
    <w:rsid w:val="008A5DEB"/>
    <w:rsid w:val="008B2CD4"/>
    <w:rsid w:val="008F66D0"/>
    <w:rsid w:val="009048D1"/>
    <w:rsid w:val="00913671"/>
    <w:rsid w:val="00915498"/>
    <w:rsid w:val="009175DA"/>
    <w:rsid w:val="00927699"/>
    <w:rsid w:val="00931F1F"/>
    <w:rsid w:val="009358D6"/>
    <w:rsid w:val="00937477"/>
    <w:rsid w:val="00956790"/>
    <w:rsid w:val="0095795B"/>
    <w:rsid w:val="009A59ED"/>
    <w:rsid w:val="009A63D4"/>
    <w:rsid w:val="009C4BA9"/>
    <w:rsid w:val="009D734F"/>
    <w:rsid w:val="009F24DA"/>
    <w:rsid w:val="009F78EF"/>
    <w:rsid w:val="00A16F3D"/>
    <w:rsid w:val="00A23D70"/>
    <w:rsid w:val="00A26EFC"/>
    <w:rsid w:val="00A87625"/>
    <w:rsid w:val="00AA2D17"/>
    <w:rsid w:val="00AC5D34"/>
    <w:rsid w:val="00AC69F6"/>
    <w:rsid w:val="00B22CB1"/>
    <w:rsid w:val="00B307D0"/>
    <w:rsid w:val="00B32C43"/>
    <w:rsid w:val="00B6610D"/>
    <w:rsid w:val="00BB422F"/>
    <w:rsid w:val="00BE1606"/>
    <w:rsid w:val="00BE4A79"/>
    <w:rsid w:val="00C00096"/>
    <w:rsid w:val="00C04E06"/>
    <w:rsid w:val="00C07FA2"/>
    <w:rsid w:val="00C20B6D"/>
    <w:rsid w:val="00C258FF"/>
    <w:rsid w:val="00C27AF5"/>
    <w:rsid w:val="00C5012C"/>
    <w:rsid w:val="00C61C47"/>
    <w:rsid w:val="00C6532A"/>
    <w:rsid w:val="00C971CE"/>
    <w:rsid w:val="00CA030C"/>
    <w:rsid w:val="00CD249B"/>
    <w:rsid w:val="00CF2693"/>
    <w:rsid w:val="00CF3942"/>
    <w:rsid w:val="00D60AB7"/>
    <w:rsid w:val="00D84637"/>
    <w:rsid w:val="00D863E1"/>
    <w:rsid w:val="00DB5AB9"/>
    <w:rsid w:val="00DC295E"/>
    <w:rsid w:val="00DC30E2"/>
    <w:rsid w:val="00DD21ED"/>
    <w:rsid w:val="00DD4BC9"/>
    <w:rsid w:val="00DD7132"/>
    <w:rsid w:val="00DE64A4"/>
    <w:rsid w:val="00E0356E"/>
    <w:rsid w:val="00E10084"/>
    <w:rsid w:val="00E3303F"/>
    <w:rsid w:val="00E528AB"/>
    <w:rsid w:val="00E72B42"/>
    <w:rsid w:val="00EA7C68"/>
    <w:rsid w:val="00EC6D60"/>
    <w:rsid w:val="00ED3CFA"/>
    <w:rsid w:val="00EE0F57"/>
    <w:rsid w:val="00EE4F53"/>
    <w:rsid w:val="00EE7184"/>
    <w:rsid w:val="00EF0212"/>
    <w:rsid w:val="00F36BC7"/>
    <w:rsid w:val="00F86157"/>
    <w:rsid w:val="00F9691C"/>
    <w:rsid w:val="00F979EB"/>
    <w:rsid w:val="00FA7566"/>
    <w:rsid w:val="00FC1B79"/>
    <w:rsid w:val="00FD41FA"/>
    <w:rsid w:val="00FE3E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about/what-we-do-and-why/data-and-research/research-and-insight-archive/investigating-the-prevalence-and-causes-of-prescribing-errors-in-general-practic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C"/>
    <w:rsid w:val="002D216C"/>
    <w:rsid w:val="002D5D4E"/>
    <w:rsid w:val="002F3C45"/>
    <w:rsid w:val="003E2CE9"/>
    <w:rsid w:val="005E6D53"/>
    <w:rsid w:val="005F1D88"/>
    <w:rsid w:val="00607F77"/>
    <w:rsid w:val="00864BAC"/>
    <w:rsid w:val="009213BD"/>
    <w:rsid w:val="009B098C"/>
    <w:rsid w:val="00AF6E9B"/>
    <w:rsid w:val="00CC5D3D"/>
    <w:rsid w:val="00D639B8"/>
    <w:rsid w:val="00E469B2"/>
    <w:rsid w:val="00F50615"/>
    <w:rsid w:val="00F661FF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8" ma:contentTypeDescription="Create a new document." ma:contentTypeScope="" ma:versionID="5f979569d813ed56891b2776ff6671bd">
  <xsd:schema xmlns:xsd="http://www.w3.org/2001/XMLSchema" xmlns:xs="http://www.w3.org/2001/XMLSchema" xmlns:p="http://schemas.microsoft.com/office/2006/metadata/properties" xmlns:ns3="786e620f-b1da-4f59-878c-ef7546d25bf1" xmlns:ns4="0c1e910d-4918-42f1-af2c-ed1101d63abc" targetNamespace="http://schemas.microsoft.com/office/2006/metadata/properties" ma:root="true" ma:fieldsID="6461a08633c3d1c6563f009c2858a042" ns3:_="" ns4:_="">
    <xsd:import namespace="786e620f-b1da-4f59-878c-ef7546d25bf1"/>
    <xsd:import namespace="0c1e910d-4918-42f1-af2c-ed1101d63a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UniqueSourceRef" minOccurs="0"/>
                <xsd:element ref="ns4:File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UniqueSourceRef" ma:index="17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8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0c1e910d-4918-42f1-af2c-ed1101d63abc" xsi:nil="true"/>
    <_activity xmlns="0c1e910d-4918-42f1-af2c-ed1101d63abc" xsi:nil="true"/>
    <FileHash xmlns="0c1e910d-4918-42f1-af2c-ed1101d63abc" xsi:nil="true"/>
  </documentManagement>
</p:properties>
</file>

<file path=customXml/itemProps1.xml><?xml version="1.0" encoding="utf-8"?>
<ds:datastoreItem xmlns:ds="http://schemas.openxmlformats.org/officeDocument/2006/customXml" ds:itemID="{640B4E73-6CF4-445E-8946-2948CB81F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1BB28-E585-47BB-9CC4-54D411A5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e620f-b1da-4f59-878c-ef7546d25bf1"/>
    <ds:schemaRef ds:uri="0c1e910d-4918-42f1-af2c-ed1101d6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DC16-A2A0-4632-B898-DD13166BB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4BDB2-EADA-4017-B4A5-416FE188BB48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836</Words>
  <Characters>5206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pra79</dc:creator>
  <cp:lastModifiedBy>Christina Farrall</cp:lastModifiedBy>
  <cp:revision>8</cp:revision>
  <cp:lastPrinted>2022-01-11T06:49:00Z</cp:lastPrinted>
  <dcterms:created xsi:type="dcterms:W3CDTF">2023-08-31T12:55:00Z</dcterms:created>
  <dcterms:modified xsi:type="dcterms:W3CDTF">2023-09-04T16:25:00Z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  <property fmtid="{D5CDD505-2E9C-101B-9397-08002B2CF9AE}" pid="3" name="GrammarlyDocumentId">
    <vt:lpwstr>a1873ecc00b40579b4c37f55178dbb06a8500023f9425782db0280f24d868aff</vt:lpwstr>
  </property>
</Properties>
</file>