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273E1E95"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E141B">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58D78CE8" w:rsidR="002C791D" w:rsidRDefault="00AD3E05" w:rsidP="002C791D">
            <w:pPr>
              <w:spacing w:after="120" w:line="240" w:lineRule="auto"/>
              <w:rPr>
                <w:rFonts w:asciiTheme="minorHAnsi" w:hAnsiTheme="minorHAnsi"/>
                <w:szCs w:val="24"/>
              </w:rPr>
            </w:pPr>
            <w:r>
              <w:rPr>
                <w:rFonts w:asciiTheme="minorHAnsi" w:hAnsiTheme="minorHAnsi"/>
                <w:szCs w:val="24"/>
              </w:rPr>
              <w:t xml:space="preserve">Evaluation of </w:t>
            </w:r>
            <w:r w:rsidR="002E141B">
              <w:rPr>
                <w:rFonts w:asciiTheme="minorHAnsi" w:hAnsiTheme="minorHAnsi"/>
                <w:szCs w:val="24"/>
              </w:rPr>
              <w:t>social prescribing</w:t>
            </w:r>
            <w:r w:rsidR="00A63381">
              <w:rPr>
                <w:rFonts w:asciiTheme="minorHAnsi" w:hAnsiTheme="minorHAnsi"/>
                <w:szCs w:val="24"/>
              </w:rPr>
              <w:t>: a mixed methods study</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3A0BBAD5" w:rsidR="002C791D" w:rsidRPr="0087759A" w:rsidRDefault="002E141B" w:rsidP="0087759A">
            <w:pPr>
              <w:pStyle w:val="ListParagraph"/>
              <w:numPr>
                <w:ilvl w:val="0"/>
                <w:numId w:val="2"/>
              </w:numPr>
              <w:spacing w:line="240" w:lineRule="auto"/>
              <w:rPr>
                <w:rFonts w:asciiTheme="minorHAnsi" w:hAnsiTheme="minorHAnsi"/>
                <w:b w:val="0"/>
                <w:bCs w:val="0"/>
                <w:szCs w:val="24"/>
              </w:rPr>
            </w:pPr>
            <w:r w:rsidRPr="0087759A">
              <w:rPr>
                <w:rFonts w:asciiTheme="minorHAnsi" w:hAnsiTheme="minorHAnsi"/>
                <w:b w:val="0"/>
                <w:bCs w:val="0"/>
                <w:szCs w:val="24"/>
              </w:rPr>
              <w:t xml:space="preserve">Dr Victoria Tzortziou Brown, Senior Clinical Lecturer, </w:t>
            </w:r>
            <w:r w:rsidR="001D46B8">
              <w:rPr>
                <w:rFonts w:asciiTheme="minorHAnsi" w:hAnsiTheme="minorHAnsi"/>
                <w:b w:val="0"/>
                <w:bCs w:val="0"/>
                <w:szCs w:val="24"/>
              </w:rPr>
              <w:t xml:space="preserve">Wolfson Institute of Population Health, </w:t>
            </w:r>
            <w:r w:rsidRPr="0087759A">
              <w:rPr>
                <w:rFonts w:asciiTheme="minorHAnsi" w:hAnsiTheme="minorHAnsi"/>
                <w:b w:val="0"/>
                <w:bCs w:val="0"/>
                <w:szCs w:val="24"/>
              </w:rPr>
              <w:t xml:space="preserve">QMUL. </w:t>
            </w:r>
            <w:r w:rsidR="00F02D00" w:rsidRPr="0087759A">
              <w:rPr>
                <w:rFonts w:asciiTheme="minorHAnsi" w:hAnsiTheme="minorHAnsi"/>
                <w:b w:val="0"/>
                <w:bCs w:val="0"/>
                <w:szCs w:val="24"/>
              </w:rPr>
              <w:t>Research interest: health policy</w:t>
            </w:r>
            <w:r w:rsidR="00F87311" w:rsidRPr="0087759A">
              <w:rPr>
                <w:rFonts w:asciiTheme="minorHAnsi" w:hAnsiTheme="minorHAnsi"/>
                <w:b w:val="0"/>
                <w:bCs w:val="0"/>
                <w:szCs w:val="24"/>
              </w:rPr>
              <w:t xml:space="preserve"> and health services research with a particular focus on health inequalities. </w:t>
            </w:r>
            <w:r w:rsidRPr="0087759A">
              <w:rPr>
                <w:rFonts w:asciiTheme="minorHAnsi" w:hAnsiTheme="minorHAnsi"/>
                <w:b w:val="0"/>
                <w:bCs w:val="0"/>
                <w:szCs w:val="24"/>
              </w:rPr>
              <w:t xml:space="preserve">Expertise </w:t>
            </w:r>
            <w:r w:rsidR="00B50C8F" w:rsidRPr="0087759A">
              <w:rPr>
                <w:rFonts w:asciiTheme="minorHAnsi" w:hAnsiTheme="minorHAnsi"/>
                <w:b w:val="0"/>
                <w:bCs w:val="0"/>
                <w:szCs w:val="24"/>
              </w:rPr>
              <w:t xml:space="preserve">in the evaluation of complex interventions. </w:t>
            </w:r>
          </w:p>
          <w:p w14:paraId="3675C395" w14:textId="4EC673AA" w:rsidR="00B50C8F" w:rsidRPr="0087759A" w:rsidRDefault="00B50C8F" w:rsidP="0087759A">
            <w:pPr>
              <w:pStyle w:val="ListParagraph"/>
              <w:numPr>
                <w:ilvl w:val="0"/>
                <w:numId w:val="2"/>
              </w:numPr>
              <w:spacing w:line="240" w:lineRule="auto"/>
              <w:rPr>
                <w:rFonts w:asciiTheme="minorHAnsi" w:hAnsiTheme="minorHAnsi"/>
                <w:b w:val="0"/>
                <w:bCs w:val="0"/>
                <w:szCs w:val="24"/>
              </w:rPr>
            </w:pPr>
            <w:r w:rsidRPr="0087759A">
              <w:rPr>
                <w:rFonts w:asciiTheme="minorHAnsi" w:hAnsiTheme="minorHAnsi"/>
                <w:b w:val="0"/>
                <w:bCs w:val="0"/>
                <w:szCs w:val="24"/>
              </w:rPr>
              <w:t xml:space="preserve">Professor Stephanie Taylor, </w:t>
            </w:r>
            <w:r w:rsidR="005F7539" w:rsidRPr="0087759A">
              <w:rPr>
                <w:rFonts w:asciiTheme="minorHAnsi" w:hAnsiTheme="minorHAnsi"/>
                <w:b w:val="0"/>
                <w:bCs w:val="0"/>
                <w:szCs w:val="24"/>
              </w:rPr>
              <w:t>Professor in Public Health and Primary Care</w:t>
            </w:r>
            <w:r w:rsidR="001D46B8">
              <w:rPr>
                <w:rFonts w:asciiTheme="minorHAnsi" w:hAnsiTheme="minorHAnsi"/>
                <w:b w:val="0"/>
                <w:bCs w:val="0"/>
                <w:szCs w:val="24"/>
              </w:rPr>
              <w:t>, Wolfson Institute of Population Health, QMUL</w:t>
            </w:r>
            <w:r w:rsidR="0087759A" w:rsidRPr="0087759A">
              <w:rPr>
                <w:rFonts w:asciiTheme="minorHAnsi" w:hAnsiTheme="minorHAnsi"/>
                <w:b w:val="0"/>
                <w:bCs w:val="0"/>
                <w:szCs w:val="24"/>
              </w:rPr>
              <w:t xml:space="preserve">. </w:t>
            </w:r>
            <w:r w:rsidR="00075A27">
              <w:rPr>
                <w:rFonts w:asciiTheme="minorHAnsi" w:hAnsiTheme="minorHAnsi"/>
                <w:b w:val="0"/>
                <w:bCs w:val="0"/>
                <w:szCs w:val="24"/>
              </w:rPr>
              <w:t xml:space="preserve">Significant experience in </w:t>
            </w:r>
            <w:r w:rsidR="00075A27" w:rsidRPr="00075A27">
              <w:rPr>
                <w:rFonts w:asciiTheme="minorHAnsi" w:hAnsiTheme="minorHAnsi"/>
                <w:b w:val="0"/>
                <w:bCs w:val="0"/>
                <w:szCs w:val="24"/>
              </w:rPr>
              <w:t>applied health services research</w:t>
            </w:r>
            <w:r w:rsidR="00075A27">
              <w:rPr>
                <w:rFonts w:asciiTheme="minorHAnsi" w:hAnsiTheme="minorHAnsi"/>
                <w:b w:val="0"/>
                <w:bCs w:val="0"/>
                <w:szCs w:val="24"/>
              </w:rPr>
              <w:t xml:space="preserve"> and </w:t>
            </w:r>
            <w:r w:rsidR="002961EA" w:rsidRPr="002961EA">
              <w:rPr>
                <w:rFonts w:asciiTheme="minorHAnsi" w:hAnsiTheme="minorHAnsi"/>
                <w:b w:val="0"/>
                <w:bCs w:val="0"/>
                <w:szCs w:val="24"/>
              </w:rPr>
              <w:t>Academic Capacity Development Lead for the NIHR School for Primary Care Research</w:t>
            </w:r>
            <w:r w:rsidR="002961EA">
              <w:rPr>
                <w:rFonts w:asciiTheme="minorHAnsi" w:hAnsiTheme="minorHAnsi"/>
                <w:b w:val="0"/>
                <w:bCs w:val="0"/>
                <w:szCs w:val="24"/>
              </w:rPr>
              <w:t xml:space="preserve">. </w:t>
            </w:r>
            <w:r w:rsidR="0087759A" w:rsidRPr="0087759A">
              <w:rPr>
                <w:rFonts w:asciiTheme="minorHAnsi" w:hAnsiTheme="minorHAnsi"/>
                <w:b w:val="0"/>
                <w:bCs w:val="0"/>
                <w:szCs w:val="24"/>
              </w:rPr>
              <w:t xml:space="preserve">Expertise in the development and evaluation of complex interventions. </w:t>
            </w:r>
          </w:p>
          <w:p w14:paraId="3300FABA" w14:textId="5032BEB3" w:rsidR="0087759A" w:rsidRPr="00293F69" w:rsidRDefault="0087759A" w:rsidP="00293F69">
            <w:pPr>
              <w:pStyle w:val="ListParagraph"/>
              <w:numPr>
                <w:ilvl w:val="0"/>
                <w:numId w:val="2"/>
              </w:numPr>
              <w:spacing w:line="240" w:lineRule="auto"/>
              <w:rPr>
                <w:rFonts w:asciiTheme="minorHAnsi" w:hAnsiTheme="minorHAnsi"/>
                <w:b w:val="0"/>
                <w:bCs w:val="0"/>
                <w:szCs w:val="24"/>
              </w:rPr>
            </w:pPr>
            <w:r>
              <w:rPr>
                <w:rFonts w:asciiTheme="minorHAnsi" w:hAnsiTheme="minorHAnsi"/>
                <w:b w:val="0"/>
                <w:bCs w:val="0"/>
                <w:szCs w:val="24"/>
              </w:rPr>
              <w:t xml:space="preserve">Professor Kamal Mahtani, </w:t>
            </w:r>
            <w:r w:rsidR="00E45A54">
              <w:rPr>
                <w:rFonts w:asciiTheme="minorHAnsi" w:hAnsiTheme="minorHAnsi"/>
                <w:b w:val="0"/>
                <w:bCs w:val="0"/>
                <w:szCs w:val="24"/>
              </w:rPr>
              <w:t>Professor of Evidence Based Healthcare</w:t>
            </w:r>
            <w:r w:rsidR="00293F69">
              <w:rPr>
                <w:rFonts w:asciiTheme="minorHAnsi" w:hAnsiTheme="minorHAnsi"/>
                <w:b w:val="0"/>
                <w:bCs w:val="0"/>
                <w:szCs w:val="24"/>
              </w:rPr>
              <w:t xml:space="preserve">, Centre for Evidence Based Medicine, Oxford. </w:t>
            </w:r>
            <w:r w:rsidR="00E45A54" w:rsidRPr="00293F69">
              <w:rPr>
                <w:rFonts w:asciiTheme="minorHAnsi" w:hAnsiTheme="minorHAnsi"/>
                <w:b w:val="0"/>
                <w:bCs w:val="0"/>
                <w:szCs w:val="24"/>
              </w:rPr>
              <w:t xml:space="preserve">Interest and expertise: </w:t>
            </w:r>
            <w:r w:rsidR="00B03C7A" w:rsidRPr="00293F69">
              <w:rPr>
                <w:rFonts w:asciiTheme="minorHAnsi" w:hAnsiTheme="minorHAnsi"/>
                <w:b w:val="0"/>
                <w:bCs w:val="0"/>
                <w:szCs w:val="24"/>
              </w:rPr>
              <w:t xml:space="preserve">Health Services Research </w:t>
            </w:r>
            <w:r w:rsidR="00E45A54" w:rsidRPr="00293F69">
              <w:rPr>
                <w:rFonts w:asciiTheme="minorHAnsi" w:hAnsiTheme="minorHAnsi"/>
                <w:b w:val="0"/>
                <w:bCs w:val="0"/>
                <w:szCs w:val="24"/>
              </w:rPr>
              <w:t>–</w:t>
            </w:r>
            <w:r w:rsidR="00B03C7A" w:rsidRPr="00293F69">
              <w:rPr>
                <w:rFonts w:asciiTheme="minorHAnsi" w:hAnsiTheme="minorHAnsi"/>
                <w:b w:val="0"/>
                <w:bCs w:val="0"/>
                <w:szCs w:val="24"/>
              </w:rPr>
              <w:t xml:space="preserve"> </w:t>
            </w:r>
            <w:r w:rsidR="00E45A54" w:rsidRPr="00293F69">
              <w:rPr>
                <w:rFonts w:asciiTheme="minorHAnsi" w:hAnsiTheme="minorHAnsi"/>
                <w:b w:val="0"/>
                <w:bCs w:val="0"/>
                <w:szCs w:val="24"/>
              </w:rPr>
              <w:t>focus on</w:t>
            </w:r>
            <w:r w:rsidR="00B03C7A" w:rsidRPr="00293F69">
              <w:rPr>
                <w:rFonts w:asciiTheme="minorHAnsi" w:hAnsiTheme="minorHAnsi"/>
                <w:b w:val="0"/>
                <w:bCs w:val="0"/>
                <w:szCs w:val="24"/>
              </w:rPr>
              <w:t xml:space="preserve"> increasing the evidence base to support the redesign of future primary care (including the role for social prescribing in the community)</w:t>
            </w:r>
            <w:r w:rsidR="00E45A54" w:rsidRPr="00293F69">
              <w:rPr>
                <w:rFonts w:asciiTheme="minorHAnsi" w:hAnsiTheme="minorHAnsi"/>
                <w:b w:val="0"/>
                <w:bCs w:val="0"/>
                <w:szCs w:val="24"/>
              </w:rPr>
              <w:t xml:space="preserve">. </w:t>
            </w:r>
          </w:p>
          <w:p w14:paraId="072F6D2B" w14:textId="05A6761C" w:rsidR="00E45A54" w:rsidRPr="0087759A" w:rsidRDefault="00193CEA" w:rsidP="0087759A">
            <w:pPr>
              <w:pStyle w:val="ListParagraph"/>
              <w:numPr>
                <w:ilvl w:val="0"/>
                <w:numId w:val="2"/>
              </w:numPr>
              <w:spacing w:line="240" w:lineRule="auto"/>
              <w:rPr>
                <w:rFonts w:asciiTheme="minorHAnsi" w:hAnsiTheme="minorHAnsi"/>
                <w:b w:val="0"/>
                <w:bCs w:val="0"/>
                <w:szCs w:val="24"/>
              </w:rPr>
            </w:pPr>
            <w:r w:rsidRPr="00293F69">
              <w:rPr>
                <w:rFonts w:asciiTheme="minorHAnsi" w:hAnsiTheme="minorHAnsi"/>
                <w:b w:val="0"/>
                <w:bCs w:val="0"/>
                <w:szCs w:val="24"/>
              </w:rPr>
              <w:t>Dr Stephanie Tierney, Senior Researcher,</w:t>
            </w:r>
            <w:r>
              <w:rPr>
                <w:rFonts w:asciiTheme="minorHAnsi" w:hAnsiTheme="minorHAnsi"/>
                <w:b w:val="0"/>
                <w:bCs w:val="0"/>
                <w:szCs w:val="24"/>
              </w:rPr>
              <w:t xml:space="preserve"> </w:t>
            </w:r>
            <w:r w:rsidR="00A3380B">
              <w:rPr>
                <w:rFonts w:asciiTheme="minorHAnsi" w:hAnsiTheme="minorHAnsi"/>
                <w:b w:val="0"/>
                <w:bCs w:val="0"/>
                <w:szCs w:val="24"/>
              </w:rPr>
              <w:t xml:space="preserve">Centre for Evidence Based Medicine, </w:t>
            </w:r>
            <w:r>
              <w:rPr>
                <w:rFonts w:asciiTheme="minorHAnsi" w:hAnsiTheme="minorHAnsi"/>
                <w:b w:val="0"/>
                <w:bCs w:val="0"/>
                <w:szCs w:val="24"/>
              </w:rPr>
              <w:t>O</w:t>
            </w:r>
            <w:r w:rsidR="00A3380B">
              <w:rPr>
                <w:rFonts w:asciiTheme="minorHAnsi" w:hAnsiTheme="minorHAnsi"/>
                <w:b w:val="0"/>
                <w:bCs w:val="0"/>
                <w:szCs w:val="24"/>
              </w:rPr>
              <w:t>xford</w:t>
            </w:r>
            <w:r w:rsidR="00293F69">
              <w:rPr>
                <w:rFonts w:asciiTheme="minorHAnsi" w:hAnsiTheme="minorHAnsi"/>
                <w:b w:val="0"/>
                <w:bCs w:val="0"/>
                <w:szCs w:val="24"/>
              </w:rPr>
              <w:t xml:space="preserve">. </w:t>
            </w:r>
            <w:r w:rsidR="00CF0201">
              <w:rPr>
                <w:rFonts w:asciiTheme="minorHAnsi" w:hAnsiTheme="minorHAnsi"/>
                <w:b w:val="0"/>
                <w:bCs w:val="0"/>
                <w:szCs w:val="24"/>
              </w:rPr>
              <w:t xml:space="preserve">Undertaking </w:t>
            </w:r>
            <w:r w:rsidR="00CF0201" w:rsidRPr="00CF0201">
              <w:rPr>
                <w:rFonts w:asciiTheme="minorHAnsi" w:hAnsiTheme="minorHAnsi"/>
                <w:b w:val="0"/>
                <w:bCs w:val="0"/>
                <w:szCs w:val="24"/>
              </w:rPr>
              <w:t xml:space="preserve">research on social prescribing and how it can help to address wider determinants of health. </w:t>
            </w:r>
            <w:r w:rsidR="00CF0201">
              <w:rPr>
                <w:rFonts w:asciiTheme="minorHAnsi" w:hAnsiTheme="minorHAnsi"/>
                <w:b w:val="0"/>
                <w:bCs w:val="0"/>
                <w:szCs w:val="24"/>
              </w:rPr>
              <w:t>Has</w:t>
            </w:r>
            <w:r w:rsidR="00CF0201" w:rsidRPr="00CF0201">
              <w:rPr>
                <w:rFonts w:asciiTheme="minorHAnsi" w:hAnsiTheme="minorHAnsi"/>
                <w:b w:val="0"/>
                <w:bCs w:val="0"/>
                <w:szCs w:val="24"/>
              </w:rPr>
              <w:t xml:space="preserve"> conducted projects on the link worker role and on the contribution of the cultural sector to social prescribing.</w:t>
            </w:r>
          </w:p>
          <w:p w14:paraId="56FB6276" w14:textId="77777777" w:rsidR="00FC4D3D" w:rsidRDefault="00FC4D3D">
            <w:pPr>
              <w:spacing w:line="240" w:lineRule="auto"/>
              <w:rPr>
                <w:rFonts w:asciiTheme="minorHAnsi" w:hAnsiTheme="minorHAnsi"/>
                <w:b w:val="0"/>
                <w:bCs w:val="0"/>
                <w:szCs w:val="24"/>
              </w:rPr>
            </w:pP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0271973D" w:rsidR="002C791D" w:rsidRPr="00211603" w:rsidRDefault="00754E47">
            <w:pPr>
              <w:spacing w:line="240" w:lineRule="auto"/>
              <w:rPr>
                <w:rFonts w:asciiTheme="minorHAnsi" w:hAnsiTheme="minorHAnsi"/>
                <w:b w:val="0"/>
                <w:bCs w:val="0"/>
                <w:szCs w:val="24"/>
              </w:rPr>
            </w:pPr>
            <w:r w:rsidRPr="00211603">
              <w:rPr>
                <w:rFonts w:asciiTheme="minorHAnsi" w:hAnsiTheme="minorHAnsi"/>
                <w:b w:val="0"/>
                <w:bCs w:val="0"/>
                <w:szCs w:val="24"/>
              </w:rPr>
              <w:t xml:space="preserve">The collaboration with </w:t>
            </w:r>
            <w:r w:rsidR="00295C59">
              <w:rPr>
                <w:rFonts w:asciiTheme="minorHAnsi" w:hAnsiTheme="minorHAnsi"/>
                <w:b w:val="0"/>
                <w:bCs w:val="0"/>
                <w:szCs w:val="24"/>
              </w:rPr>
              <w:t xml:space="preserve">experts from </w:t>
            </w:r>
            <w:r w:rsidRPr="00211603">
              <w:rPr>
                <w:rFonts w:asciiTheme="minorHAnsi" w:hAnsiTheme="minorHAnsi"/>
                <w:b w:val="0"/>
                <w:bCs w:val="0"/>
                <w:szCs w:val="24"/>
              </w:rPr>
              <w:t xml:space="preserve">the centre for </w:t>
            </w:r>
            <w:r w:rsidR="003C4B29" w:rsidRPr="00211603">
              <w:rPr>
                <w:rFonts w:asciiTheme="minorHAnsi" w:hAnsiTheme="minorHAnsi"/>
                <w:b w:val="0"/>
                <w:bCs w:val="0"/>
                <w:szCs w:val="24"/>
              </w:rPr>
              <w:t>evidence</w:t>
            </w:r>
            <w:r w:rsidR="004279A4">
              <w:rPr>
                <w:rFonts w:asciiTheme="minorHAnsi" w:hAnsiTheme="minorHAnsi"/>
                <w:b w:val="0"/>
                <w:bCs w:val="0"/>
                <w:szCs w:val="24"/>
              </w:rPr>
              <w:t>-</w:t>
            </w:r>
            <w:r w:rsidR="003C4B29" w:rsidRPr="00211603">
              <w:rPr>
                <w:rFonts w:asciiTheme="minorHAnsi" w:hAnsiTheme="minorHAnsi"/>
                <w:b w:val="0"/>
                <w:bCs w:val="0"/>
                <w:szCs w:val="24"/>
              </w:rPr>
              <w:t xml:space="preserve">based medicine in Oxford will offer opportunities for enhancing </w:t>
            </w:r>
            <w:r w:rsidR="00696205" w:rsidRPr="00211603">
              <w:rPr>
                <w:rFonts w:asciiTheme="minorHAnsi" w:hAnsiTheme="minorHAnsi"/>
                <w:b w:val="0"/>
                <w:bCs w:val="0"/>
                <w:szCs w:val="24"/>
              </w:rPr>
              <w:t xml:space="preserve">skills </w:t>
            </w:r>
            <w:r w:rsidR="00295C59">
              <w:rPr>
                <w:rFonts w:asciiTheme="minorHAnsi" w:hAnsiTheme="minorHAnsi"/>
                <w:b w:val="0"/>
                <w:bCs w:val="0"/>
                <w:szCs w:val="24"/>
              </w:rPr>
              <w:t xml:space="preserve">around </w:t>
            </w:r>
            <w:r w:rsidR="006D7C74" w:rsidRPr="00211603">
              <w:rPr>
                <w:rFonts w:asciiTheme="minorHAnsi" w:hAnsiTheme="minorHAnsi"/>
                <w:b w:val="0"/>
                <w:bCs w:val="0"/>
                <w:szCs w:val="24"/>
              </w:rPr>
              <w:t>leading evidence-based research</w:t>
            </w:r>
            <w:r w:rsidR="00211603" w:rsidRPr="00211603">
              <w:rPr>
                <w:b w:val="0"/>
                <w:bCs w:val="0"/>
              </w:rPr>
              <w:t xml:space="preserve"> </w:t>
            </w:r>
            <w:r w:rsidR="00211603" w:rsidRPr="00211603">
              <w:rPr>
                <w:rFonts w:asciiTheme="minorHAnsi" w:hAnsiTheme="minorHAnsi"/>
                <w:b w:val="0"/>
                <w:bCs w:val="0"/>
                <w:szCs w:val="24"/>
              </w:rPr>
              <w:t>on which clinical decisions and policy can be reliably based</w:t>
            </w:r>
            <w:r w:rsidR="006D7C74" w:rsidRPr="00211603">
              <w:rPr>
                <w:rFonts w:asciiTheme="minorHAnsi" w:hAnsiTheme="minorHAnsi"/>
                <w:b w:val="0"/>
                <w:bCs w:val="0"/>
                <w:szCs w:val="24"/>
              </w:rPr>
              <w:t xml:space="preserve">. </w:t>
            </w:r>
            <w:r w:rsidR="00295C59">
              <w:rPr>
                <w:rFonts w:asciiTheme="minorHAnsi" w:hAnsiTheme="minorHAnsi"/>
                <w:b w:val="0"/>
                <w:bCs w:val="0"/>
                <w:szCs w:val="24"/>
              </w:rPr>
              <w:t xml:space="preserve">In addition, the expertise of the external supervisors </w:t>
            </w:r>
            <w:r w:rsidR="00A42219">
              <w:rPr>
                <w:rFonts w:asciiTheme="minorHAnsi" w:hAnsiTheme="minorHAnsi"/>
                <w:b w:val="0"/>
                <w:bCs w:val="0"/>
                <w:szCs w:val="24"/>
              </w:rPr>
              <w:t xml:space="preserve">in undertaking social prescribing research will </w:t>
            </w:r>
            <w:r w:rsidR="00B33122">
              <w:rPr>
                <w:rFonts w:asciiTheme="minorHAnsi" w:hAnsiTheme="minorHAnsi"/>
                <w:b w:val="0"/>
                <w:bCs w:val="0"/>
                <w:szCs w:val="24"/>
              </w:rPr>
              <w:t>help</w:t>
            </w:r>
            <w:r w:rsidR="002C38EA">
              <w:rPr>
                <w:rFonts w:asciiTheme="minorHAnsi" w:hAnsiTheme="minorHAnsi"/>
                <w:b w:val="0"/>
                <w:bCs w:val="0"/>
                <w:szCs w:val="24"/>
              </w:rPr>
              <w:t xml:space="preserve"> refine the methodology of the project. </w:t>
            </w:r>
            <w:r w:rsidR="00A42219">
              <w:rPr>
                <w:rFonts w:asciiTheme="minorHAnsi" w:hAnsiTheme="minorHAnsi"/>
                <w:b w:val="0"/>
                <w:bCs w:val="0"/>
                <w:szCs w:val="24"/>
              </w:rPr>
              <w:t xml:space="preserve"> </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F40C311" w14:textId="4FCA00AC" w:rsidR="00724FAC" w:rsidRPr="00E14890" w:rsidRDefault="00E14890">
            <w:pPr>
              <w:spacing w:line="240" w:lineRule="auto"/>
              <w:rPr>
                <w:rFonts w:asciiTheme="minorHAnsi" w:hAnsiTheme="minorHAnsi"/>
                <w:b w:val="0"/>
                <w:bCs w:val="0"/>
                <w:szCs w:val="24"/>
              </w:rPr>
            </w:pPr>
            <w:r w:rsidRPr="00E14890">
              <w:rPr>
                <w:rFonts w:asciiTheme="minorHAnsi" w:hAnsiTheme="minorHAnsi"/>
                <w:b w:val="0"/>
                <w:bCs w:val="0"/>
                <w:szCs w:val="24"/>
              </w:rPr>
              <w:t xml:space="preserve">Background </w:t>
            </w:r>
          </w:p>
          <w:p w14:paraId="366D0DEA" w14:textId="77777777" w:rsidR="004C6FFF" w:rsidRDefault="00491940" w:rsidP="00491940">
            <w:pPr>
              <w:spacing w:line="240" w:lineRule="auto"/>
              <w:rPr>
                <w:rFonts w:asciiTheme="minorHAnsi" w:hAnsiTheme="minorHAnsi"/>
                <w:b w:val="0"/>
                <w:bCs w:val="0"/>
                <w:szCs w:val="24"/>
              </w:rPr>
            </w:pPr>
            <w:r w:rsidRPr="004A221B">
              <w:rPr>
                <w:rFonts w:asciiTheme="minorHAnsi" w:hAnsiTheme="minorHAnsi"/>
                <w:b w:val="0"/>
                <w:bCs w:val="0"/>
                <w:szCs w:val="24"/>
              </w:rPr>
              <w:t>The NHS England defines SP “a way for local agencies to refer people to a link worker. Link workers give people time, focusing on ‘what matters to me’ and taking a holistic approach to people’s health and wellbeing. They connect people to community groups and statutory services for practical and emotional support”.</w:t>
            </w:r>
            <w:r w:rsidRPr="00491940">
              <w:rPr>
                <w:rFonts w:asciiTheme="minorHAnsi" w:hAnsiTheme="minorHAnsi"/>
                <w:szCs w:val="24"/>
              </w:rPr>
              <w:t xml:space="preserve"> </w:t>
            </w:r>
            <w:bookmarkStart w:id="0" w:name="_Ref114222954"/>
            <w:r w:rsidR="004A221B">
              <w:rPr>
                <w:rStyle w:val="EndnoteReference"/>
                <w:rFonts w:asciiTheme="minorHAnsi" w:hAnsiTheme="minorHAnsi"/>
                <w:szCs w:val="24"/>
              </w:rPr>
              <w:endnoteReference w:id="1"/>
            </w:r>
            <w:bookmarkEnd w:id="0"/>
          </w:p>
          <w:p w14:paraId="34BA2290" w14:textId="77777777" w:rsidR="00AE1C3A" w:rsidRDefault="00491940" w:rsidP="00AE1C3A">
            <w:pPr>
              <w:spacing w:line="240" w:lineRule="auto"/>
              <w:rPr>
                <w:rFonts w:asciiTheme="minorHAnsi" w:hAnsiTheme="minorHAnsi"/>
                <w:szCs w:val="24"/>
              </w:rPr>
            </w:pPr>
            <w:r w:rsidRPr="007B3D00">
              <w:rPr>
                <w:rFonts w:asciiTheme="minorHAnsi" w:hAnsiTheme="minorHAnsi"/>
                <w:b w:val="0"/>
                <w:bCs w:val="0"/>
                <w:szCs w:val="24"/>
              </w:rPr>
              <w:t>The NHS Long Term Plan expects that by 2023/24 nearly one million people in England will be referred to social prescribing schemes.</w:t>
            </w:r>
            <w:r w:rsidR="007C1423" w:rsidRPr="007C1423">
              <w:rPr>
                <w:rFonts w:asciiTheme="minorHAnsi" w:hAnsiTheme="minorHAnsi"/>
                <w:szCs w:val="24"/>
                <w:vertAlign w:val="superscript"/>
              </w:rPr>
              <w:fldChar w:fldCharType="begin"/>
            </w:r>
            <w:r w:rsidR="007C1423" w:rsidRPr="007C1423">
              <w:rPr>
                <w:rFonts w:asciiTheme="minorHAnsi" w:hAnsiTheme="minorHAnsi"/>
                <w:szCs w:val="24"/>
                <w:vertAlign w:val="superscript"/>
              </w:rPr>
              <w:instrText xml:space="preserve"> NOTEREF _Ref114222954 \h  \* MERGEFORMAT </w:instrText>
            </w:r>
            <w:r w:rsidR="007C1423" w:rsidRPr="007C1423">
              <w:rPr>
                <w:rFonts w:asciiTheme="minorHAnsi" w:hAnsiTheme="minorHAnsi"/>
                <w:szCs w:val="24"/>
                <w:vertAlign w:val="superscript"/>
              </w:rPr>
            </w:r>
            <w:r w:rsidR="007C1423" w:rsidRPr="007C1423">
              <w:rPr>
                <w:rFonts w:asciiTheme="minorHAnsi" w:hAnsiTheme="minorHAnsi"/>
                <w:szCs w:val="24"/>
                <w:vertAlign w:val="superscript"/>
              </w:rPr>
              <w:fldChar w:fldCharType="separate"/>
            </w:r>
            <w:r w:rsidR="007C1423" w:rsidRPr="007C1423">
              <w:rPr>
                <w:rFonts w:asciiTheme="minorHAnsi" w:hAnsiTheme="minorHAnsi"/>
                <w:szCs w:val="24"/>
                <w:vertAlign w:val="superscript"/>
              </w:rPr>
              <w:t>1</w:t>
            </w:r>
            <w:r w:rsidR="007C1423" w:rsidRPr="007C1423">
              <w:rPr>
                <w:rFonts w:asciiTheme="minorHAnsi" w:hAnsiTheme="minorHAnsi"/>
                <w:szCs w:val="24"/>
                <w:vertAlign w:val="superscript"/>
              </w:rPr>
              <w:fldChar w:fldCharType="end"/>
            </w:r>
            <w:r w:rsidRPr="007B3D00">
              <w:rPr>
                <w:rFonts w:asciiTheme="minorHAnsi" w:hAnsiTheme="minorHAnsi"/>
                <w:b w:val="0"/>
                <w:bCs w:val="0"/>
                <w:szCs w:val="24"/>
              </w:rPr>
              <w:t xml:space="preserve"> To support this, </w:t>
            </w:r>
            <w:r w:rsidR="001D085A" w:rsidRPr="007B3D00">
              <w:rPr>
                <w:rFonts w:asciiTheme="minorHAnsi" w:hAnsiTheme="minorHAnsi"/>
                <w:b w:val="0"/>
                <w:bCs w:val="0"/>
                <w:szCs w:val="24"/>
              </w:rPr>
              <w:t>the GP Network Direct Enhanced Service contract (DES) commit</w:t>
            </w:r>
            <w:r w:rsidR="007B3D00" w:rsidRPr="007B3D00">
              <w:rPr>
                <w:rFonts w:asciiTheme="minorHAnsi" w:hAnsiTheme="minorHAnsi"/>
                <w:b w:val="0"/>
                <w:bCs w:val="0"/>
                <w:szCs w:val="24"/>
              </w:rPr>
              <w:t>ted</w:t>
            </w:r>
            <w:r w:rsidR="001D085A" w:rsidRPr="007B3D00">
              <w:rPr>
                <w:rFonts w:asciiTheme="minorHAnsi" w:hAnsiTheme="minorHAnsi"/>
                <w:b w:val="0"/>
                <w:bCs w:val="0"/>
                <w:szCs w:val="24"/>
              </w:rPr>
              <w:t xml:space="preserve"> an investment of £2.4 billion into primary care</w:t>
            </w:r>
            <w:r w:rsidR="007B3D00" w:rsidRPr="007B3D00">
              <w:rPr>
                <w:rFonts w:asciiTheme="minorHAnsi" w:hAnsiTheme="minorHAnsi"/>
                <w:b w:val="0"/>
                <w:bCs w:val="0"/>
                <w:szCs w:val="24"/>
              </w:rPr>
              <w:t>,</w:t>
            </w:r>
            <w:r w:rsidR="001D085A" w:rsidRPr="007B3D00">
              <w:rPr>
                <w:rFonts w:asciiTheme="minorHAnsi" w:hAnsiTheme="minorHAnsi"/>
                <w:b w:val="0"/>
                <w:bCs w:val="0"/>
                <w:szCs w:val="24"/>
              </w:rPr>
              <w:t xml:space="preserve"> part of which is for the </w:t>
            </w:r>
            <w:r w:rsidR="009B55C2" w:rsidRPr="007B3D00">
              <w:rPr>
                <w:rFonts w:asciiTheme="minorHAnsi" w:hAnsiTheme="minorHAnsi"/>
                <w:b w:val="0"/>
                <w:bCs w:val="0"/>
                <w:szCs w:val="24"/>
              </w:rPr>
              <w:t xml:space="preserve">development of social prescribing. </w:t>
            </w:r>
            <w:r w:rsidR="001D594D">
              <w:rPr>
                <w:rStyle w:val="EndnoteReference"/>
                <w:rFonts w:asciiTheme="minorHAnsi" w:hAnsiTheme="minorHAnsi"/>
                <w:b w:val="0"/>
                <w:bCs w:val="0"/>
                <w:szCs w:val="24"/>
              </w:rPr>
              <w:endnoteReference w:id="2"/>
            </w:r>
            <w:r w:rsidR="00CF23F4">
              <w:rPr>
                <w:rFonts w:asciiTheme="minorHAnsi" w:hAnsiTheme="minorHAnsi"/>
                <w:b w:val="0"/>
                <w:bCs w:val="0"/>
                <w:szCs w:val="24"/>
              </w:rPr>
              <w:t xml:space="preserve"> </w:t>
            </w:r>
            <w:r w:rsidR="00CF23F4" w:rsidRPr="00CF23F4">
              <w:rPr>
                <w:rFonts w:asciiTheme="minorHAnsi" w:hAnsiTheme="minorHAnsi"/>
                <w:b w:val="0"/>
                <w:bCs w:val="0"/>
                <w:szCs w:val="24"/>
              </w:rPr>
              <w:t>This is the biggest investment in social prescribing by any national health system</w:t>
            </w:r>
            <w:r w:rsidR="00FF5B14">
              <w:rPr>
                <w:rFonts w:asciiTheme="minorHAnsi" w:hAnsiTheme="minorHAnsi"/>
                <w:b w:val="0"/>
                <w:bCs w:val="0"/>
                <w:szCs w:val="24"/>
              </w:rPr>
              <w:t xml:space="preserve">. </w:t>
            </w:r>
          </w:p>
          <w:p w14:paraId="4E826E32" w14:textId="238E6AC9" w:rsidR="00AE1C3A" w:rsidRPr="00AE1C3A" w:rsidRDefault="00AE1C3A" w:rsidP="00AE1C3A">
            <w:pPr>
              <w:spacing w:line="240" w:lineRule="auto"/>
              <w:rPr>
                <w:rFonts w:asciiTheme="minorHAnsi" w:hAnsiTheme="minorHAnsi"/>
                <w:b w:val="0"/>
                <w:bCs w:val="0"/>
                <w:szCs w:val="24"/>
              </w:rPr>
            </w:pPr>
            <w:r w:rsidRPr="00AE1C3A">
              <w:rPr>
                <w:rFonts w:asciiTheme="minorHAnsi" w:hAnsiTheme="minorHAnsi"/>
                <w:b w:val="0"/>
                <w:bCs w:val="0"/>
                <w:szCs w:val="24"/>
              </w:rPr>
              <w:t xml:space="preserve">There is emerging evidence that social prescribing </w:t>
            </w:r>
            <w:r w:rsidR="001255C5">
              <w:rPr>
                <w:rFonts w:asciiTheme="minorHAnsi" w:hAnsiTheme="minorHAnsi"/>
                <w:b w:val="0"/>
                <w:bCs w:val="0"/>
                <w:szCs w:val="24"/>
              </w:rPr>
              <w:t>can</w:t>
            </w:r>
            <w:r w:rsidRPr="00AE1C3A">
              <w:rPr>
                <w:rFonts w:asciiTheme="minorHAnsi" w:hAnsiTheme="minorHAnsi"/>
                <w:b w:val="0"/>
                <w:bCs w:val="0"/>
                <w:szCs w:val="24"/>
              </w:rPr>
              <w:t xml:space="preserve"> lead to a range of positive health and wellbeing outcomes for </w:t>
            </w:r>
            <w:r>
              <w:rPr>
                <w:rFonts w:asciiTheme="minorHAnsi" w:hAnsiTheme="minorHAnsi"/>
                <w:b w:val="0"/>
                <w:bCs w:val="0"/>
                <w:szCs w:val="24"/>
              </w:rPr>
              <w:t>those accessing it</w:t>
            </w:r>
            <w:r w:rsidRPr="00AE1C3A">
              <w:rPr>
                <w:rFonts w:asciiTheme="minorHAnsi" w:hAnsiTheme="minorHAnsi"/>
                <w:b w:val="0"/>
                <w:bCs w:val="0"/>
                <w:szCs w:val="24"/>
              </w:rPr>
              <w:t>, such as improved quality of life and emotional wellbeing.</w:t>
            </w:r>
          </w:p>
          <w:p w14:paraId="4027401A" w14:textId="249BF8F2" w:rsidR="00491940" w:rsidRDefault="00AE1C3A" w:rsidP="00AE1C3A">
            <w:pPr>
              <w:spacing w:line="240" w:lineRule="auto"/>
              <w:rPr>
                <w:rFonts w:asciiTheme="minorHAnsi" w:hAnsiTheme="minorHAnsi"/>
                <w:szCs w:val="24"/>
              </w:rPr>
            </w:pPr>
            <w:r>
              <w:rPr>
                <w:rFonts w:asciiTheme="minorHAnsi" w:hAnsiTheme="minorHAnsi"/>
                <w:b w:val="0"/>
                <w:bCs w:val="0"/>
                <w:szCs w:val="24"/>
              </w:rPr>
              <w:lastRenderedPageBreak/>
              <w:t>However,</w:t>
            </w:r>
            <w:r w:rsidRPr="00AE1C3A">
              <w:rPr>
                <w:rFonts w:asciiTheme="minorHAnsi" w:hAnsiTheme="minorHAnsi"/>
                <w:b w:val="0"/>
                <w:bCs w:val="0"/>
                <w:szCs w:val="24"/>
              </w:rPr>
              <w:t xml:space="preserve"> there is a need for more robust and systematic evidence on the effectiveness of social prescribing</w:t>
            </w:r>
            <w:r w:rsidR="001255C5">
              <w:rPr>
                <w:rFonts w:asciiTheme="minorHAnsi" w:hAnsiTheme="minorHAnsi"/>
                <w:b w:val="0"/>
                <w:bCs w:val="0"/>
                <w:szCs w:val="24"/>
              </w:rPr>
              <w:t>.</w:t>
            </w:r>
            <w:r w:rsidR="00193962">
              <w:rPr>
                <w:rStyle w:val="EndnoteReference"/>
                <w:rFonts w:asciiTheme="minorHAnsi" w:hAnsiTheme="minorHAnsi"/>
                <w:b w:val="0"/>
                <w:bCs w:val="0"/>
                <w:szCs w:val="24"/>
              </w:rPr>
              <w:endnoteReference w:id="3"/>
            </w:r>
            <w:r w:rsidR="001255C5">
              <w:rPr>
                <w:rFonts w:asciiTheme="minorHAnsi" w:hAnsiTheme="minorHAnsi"/>
                <w:b w:val="0"/>
                <w:bCs w:val="0"/>
                <w:szCs w:val="24"/>
              </w:rPr>
              <w:t xml:space="preserve"> It is currently unclear for whom social prescribing is most cost-effective and whether</w:t>
            </w:r>
            <w:r w:rsidRPr="00AE1C3A">
              <w:rPr>
                <w:rFonts w:asciiTheme="minorHAnsi" w:hAnsiTheme="minorHAnsi"/>
                <w:b w:val="0"/>
                <w:bCs w:val="0"/>
                <w:szCs w:val="24"/>
              </w:rPr>
              <w:t xml:space="preserve"> social prescribing schemes </w:t>
            </w:r>
            <w:r w:rsidR="001255C5">
              <w:rPr>
                <w:rFonts w:asciiTheme="minorHAnsi" w:hAnsiTheme="minorHAnsi"/>
                <w:b w:val="0"/>
                <w:bCs w:val="0"/>
                <w:szCs w:val="24"/>
              </w:rPr>
              <w:t>can</w:t>
            </w:r>
            <w:r w:rsidRPr="00AE1C3A">
              <w:rPr>
                <w:rFonts w:asciiTheme="minorHAnsi" w:hAnsiTheme="minorHAnsi"/>
                <w:b w:val="0"/>
                <w:bCs w:val="0"/>
                <w:szCs w:val="24"/>
              </w:rPr>
              <w:t xml:space="preserve"> lead to a reduction in the use of NHS services, including GP attendance. </w:t>
            </w:r>
          </w:p>
          <w:p w14:paraId="733A34FB" w14:textId="1EC31EBF" w:rsidR="00E960B3" w:rsidRPr="007B3D00" w:rsidRDefault="00097D1F" w:rsidP="00AE1C3A">
            <w:pPr>
              <w:spacing w:line="240" w:lineRule="auto"/>
              <w:rPr>
                <w:rFonts w:asciiTheme="minorHAnsi" w:hAnsiTheme="minorHAnsi"/>
                <w:b w:val="0"/>
                <w:bCs w:val="0"/>
                <w:szCs w:val="24"/>
              </w:rPr>
            </w:pPr>
            <w:r>
              <w:rPr>
                <w:rFonts w:asciiTheme="minorHAnsi" w:hAnsiTheme="minorHAnsi"/>
                <w:b w:val="0"/>
                <w:bCs w:val="0"/>
                <w:szCs w:val="24"/>
              </w:rPr>
              <w:t>The North</w:t>
            </w:r>
            <w:r w:rsidR="004279A4">
              <w:rPr>
                <w:rFonts w:asciiTheme="minorHAnsi" w:hAnsiTheme="minorHAnsi"/>
                <w:b w:val="0"/>
                <w:bCs w:val="0"/>
                <w:szCs w:val="24"/>
              </w:rPr>
              <w:t>-</w:t>
            </w:r>
            <w:r>
              <w:rPr>
                <w:rFonts w:asciiTheme="minorHAnsi" w:hAnsiTheme="minorHAnsi"/>
                <w:b w:val="0"/>
                <w:bCs w:val="0"/>
                <w:szCs w:val="24"/>
              </w:rPr>
              <w:t xml:space="preserve">East London integrated care system </w:t>
            </w:r>
            <w:r w:rsidR="00E006F0">
              <w:rPr>
                <w:rFonts w:asciiTheme="minorHAnsi" w:hAnsiTheme="minorHAnsi"/>
                <w:b w:val="0"/>
                <w:bCs w:val="0"/>
                <w:szCs w:val="24"/>
              </w:rPr>
              <w:t xml:space="preserve">(ICS) </w:t>
            </w:r>
            <w:r>
              <w:rPr>
                <w:rFonts w:asciiTheme="minorHAnsi" w:hAnsiTheme="minorHAnsi"/>
                <w:b w:val="0"/>
                <w:bCs w:val="0"/>
                <w:szCs w:val="24"/>
              </w:rPr>
              <w:t xml:space="preserve">covers an area of over 2 million </w:t>
            </w:r>
            <w:r w:rsidR="00A11C4B">
              <w:rPr>
                <w:rFonts w:asciiTheme="minorHAnsi" w:hAnsiTheme="minorHAnsi"/>
                <w:b w:val="0"/>
                <w:bCs w:val="0"/>
                <w:szCs w:val="24"/>
              </w:rPr>
              <w:t>people</w:t>
            </w:r>
            <w:r w:rsidR="00E006F0">
              <w:rPr>
                <w:rFonts w:asciiTheme="minorHAnsi" w:hAnsiTheme="minorHAnsi"/>
                <w:b w:val="0"/>
                <w:bCs w:val="0"/>
                <w:szCs w:val="24"/>
              </w:rPr>
              <w:t xml:space="preserve"> with high levels of diversity and deprivation</w:t>
            </w:r>
            <w:r w:rsidR="00A11C4B">
              <w:rPr>
                <w:rFonts w:asciiTheme="minorHAnsi" w:hAnsiTheme="minorHAnsi"/>
                <w:b w:val="0"/>
                <w:bCs w:val="0"/>
                <w:szCs w:val="24"/>
              </w:rPr>
              <w:t xml:space="preserve">. </w:t>
            </w:r>
            <w:r w:rsidR="002D4E37">
              <w:rPr>
                <w:rFonts w:asciiTheme="minorHAnsi" w:hAnsiTheme="minorHAnsi"/>
                <w:b w:val="0"/>
                <w:bCs w:val="0"/>
                <w:szCs w:val="24"/>
              </w:rPr>
              <w:t xml:space="preserve">It brings together </w:t>
            </w:r>
            <w:r w:rsidR="002D4E37" w:rsidRPr="002D4E37">
              <w:rPr>
                <w:rFonts w:asciiTheme="minorHAnsi" w:hAnsiTheme="minorHAnsi"/>
                <w:b w:val="0"/>
                <w:bCs w:val="0"/>
                <w:szCs w:val="24"/>
              </w:rPr>
              <w:t xml:space="preserve">seven places (City and Hackney, Barking and Dagenham, Havering, Redbridge, Newham, Tower Hamlets, and Waltham Forest), aligned to </w:t>
            </w:r>
            <w:r w:rsidR="00E006F0">
              <w:rPr>
                <w:rFonts w:asciiTheme="minorHAnsi" w:hAnsiTheme="minorHAnsi"/>
                <w:b w:val="0"/>
                <w:bCs w:val="0"/>
                <w:szCs w:val="24"/>
              </w:rPr>
              <w:t>the local</w:t>
            </w:r>
            <w:r w:rsidR="002D4E37" w:rsidRPr="002D4E37">
              <w:rPr>
                <w:rFonts w:asciiTheme="minorHAnsi" w:hAnsiTheme="minorHAnsi"/>
                <w:b w:val="0"/>
                <w:bCs w:val="0"/>
                <w:szCs w:val="24"/>
              </w:rPr>
              <w:t xml:space="preserve"> boroughs</w:t>
            </w:r>
            <w:r w:rsidR="00E006F0">
              <w:rPr>
                <w:rFonts w:asciiTheme="minorHAnsi" w:hAnsiTheme="minorHAnsi"/>
                <w:b w:val="0"/>
                <w:bCs w:val="0"/>
                <w:szCs w:val="24"/>
              </w:rPr>
              <w:t xml:space="preserve">. </w:t>
            </w:r>
            <w:r w:rsidR="008C2F4B">
              <w:rPr>
                <w:rFonts w:asciiTheme="minorHAnsi" w:hAnsiTheme="minorHAnsi"/>
                <w:b w:val="0"/>
                <w:bCs w:val="0"/>
                <w:szCs w:val="24"/>
              </w:rPr>
              <w:t>B</w:t>
            </w:r>
            <w:r w:rsidR="008C2F4B" w:rsidRPr="008C2F4B">
              <w:rPr>
                <w:rFonts w:asciiTheme="minorHAnsi" w:hAnsiTheme="minorHAnsi"/>
                <w:b w:val="0"/>
                <w:bCs w:val="0"/>
                <w:szCs w:val="24"/>
              </w:rPr>
              <w:t>ring</w:t>
            </w:r>
            <w:r w:rsidR="008C2F4B">
              <w:rPr>
                <w:rFonts w:asciiTheme="minorHAnsi" w:hAnsiTheme="minorHAnsi"/>
                <w:b w:val="0"/>
                <w:bCs w:val="0"/>
                <w:szCs w:val="24"/>
              </w:rPr>
              <w:t>ing</w:t>
            </w:r>
            <w:r w:rsidR="008C2F4B" w:rsidRPr="008C2F4B">
              <w:rPr>
                <w:rFonts w:asciiTheme="minorHAnsi" w:hAnsiTheme="minorHAnsi"/>
                <w:b w:val="0"/>
                <w:bCs w:val="0"/>
                <w:szCs w:val="24"/>
              </w:rPr>
              <w:t xml:space="preserve"> together the NHS, local government and providers of health and social care services, including the VCSE sector, </w:t>
            </w:r>
            <w:proofErr w:type="gramStart"/>
            <w:r w:rsidR="008C2F4B" w:rsidRPr="008C2F4B">
              <w:rPr>
                <w:rFonts w:asciiTheme="minorHAnsi" w:hAnsiTheme="minorHAnsi"/>
                <w:b w:val="0"/>
                <w:bCs w:val="0"/>
                <w:szCs w:val="24"/>
              </w:rPr>
              <w:t>people</w:t>
            </w:r>
            <w:proofErr w:type="gramEnd"/>
            <w:r w:rsidR="008C2F4B" w:rsidRPr="008C2F4B">
              <w:rPr>
                <w:rFonts w:asciiTheme="minorHAnsi" w:hAnsiTheme="minorHAnsi"/>
                <w:b w:val="0"/>
                <w:bCs w:val="0"/>
                <w:szCs w:val="24"/>
              </w:rPr>
              <w:t xml:space="preserve"> and communities, </w:t>
            </w:r>
            <w:r w:rsidR="008C2F4B">
              <w:rPr>
                <w:rFonts w:asciiTheme="minorHAnsi" w:hAnsiTheme="minorHAnsi"/>
                <w:b w:val="0"/>
                <w:bCs w:val="0"/>
                <w:szCs w:val="24"/>
              </w:rPr>
              <w:t xml:space="preserve">offers an opportunity </w:t>
            </w:r>
            <w:r w:rsidR="008C2F4B" w:rsidRPr="008C2F4B">
              <w:rPr>
                <w:rFonts w:asciiTheme="minorHAnsi" w:hAnsiTheme="minorHAnsi"/>
                <w:b w:val="0"/>
                <w:bCs w:val="0"/>
                <w:szCs w:val="24"/>
              </w:rPr>
              <w:t xml:space="preserve">to </w:t>
            </w:r>
            <w:r w:rsidR="008C2F4B">
              <w:rPr>
                <w:rFonts w:asciiTheme="minorHAnsi" w:hAnsiTheme="minorHAnsi"/>
                <w:b w:val="0"/>
                <w:bCs w:val="0"/>
                <w:szCs w:val="24"/>
              </w:rPr>
              <w:t>gain</w:t>
            </w:r>
            <w:r w:rsidR="008C2F4B" w:rsidRPr="008C2F4B">
              <w:rPr>
                <w:rFonts w:asciiTheme="minorHAnsi" w:hAnsiTheme="minorHAnsi"/>
                <w:b w:val="0"/>
                <w:bCs w:val="0"/>
                <w:szCs w:val="24"/>
              </w:rPr>
              <w:t xml:space="preserve"> a </w:t>
            </w:r>
            <w:r w:rsidR="007843FD">
              <w:rPr>
                <w:rFonts w:asciiTheme="minorHAnsi" w:hAnsiTheme="minorHAnsi"/>
                <w:b w:val="0"/>
                <w:bCs w:val="0"/>
                <w:szCs w:val="24"/>
              </w:rPr>
              <w:t>good</w:t>
            </w:r>
            <w:r w:rsidR="008C2F4B" w:rsidRPr="008C2F4B">
              <w:rPr>
                <w:rFonts w:asciiTheme="minorHAnsi" w:hAnsiTheme="minorHAnsi"/>
                <w:b w:val="0"/>
                <w:bCs w:val="0"/>
                <w:szCs w:val="24"/>
              </w:rPr>
              <w:t xml:space="preserve"> understanding of what works well and what is needed by local communities.</w:t>
            </w:r>
            <w:r w:rsidR="002D4E37">
              <w:rPr>
                <w:rFonts w:asciiTheme="minorHAnsi" w:hAnsiTheme="minorHAnsi"/>
                <w:b w:val="0"/>
                <w:bCs w:val="0"/>
                <w:szCs w:val="24"/>
              </w:rPr>
              <w:t xml:space="preserve"> </w:t>
            </w:r>
            <w:r w:rsidR="00A11C4B">
              <w:rPr>
                <w:rFonts w:asciiTheme="minorHAnsi" w:hAnsiTheme="minorHAnsi"/>
                <w:b w:val="0"/>
                <w:bCs w:val="0"/>
                <w:szCs w:val="24"/>
              </w:rPr>
              <w:t xml:space="preserve">Social prescribing schemes are being rolled out across all </w:t>
            </w:r>
            <w:r w:rsidR="007843FD">
              <w:rPr>
                <w:rFonts w:asciiTheme="minorHAnsi" w:hAnsiTheme="minorHAnsi"/>
                <w:b w:val="0"/>
                <w:bCs w:val="0"/>
                <w:szCs w:val="24"/>
              </w:rPr>
              <w:t xml:space="preserve">seven places but are at different rates of maturity. </w:t>
            </w:r>
            <w:r w:rsidR="00093E9E">
              <w:rPr>
                <w:rFonts w:asciiTheme="minorHAnsi" w:hAnsiTheme="minorHAnsi"/>
                <w:b w:val="0"/>
                <w:bCs w:val="0"/>
                <w:szCs w:val="24"/>
              </w:rPr>
              <w:t>Patient record t</w:t>
            </w:r>
            <w:r w:rsidR="00CF3DC1">
              <w:rPr>
                <w:rFonts w:asciiTheme="minorHAnsi" w:hAnsiTheme="minorHAnsi"/>
                <w:b w:val="0"/>
                <w:bCs w:val="0"/>
                <w:szCs w:val="24"/>
              </w:rPr>
              <w:t xml:space="preserve">ools </w:t>
            </w:r>
            <w:r w:rsidR="00F22110">
              <w:rPr>
                <w:rFonts w:asciiTheme="minorHAnsi" w:hAnsiTheme="minorHAnsi"/>
                <w:b w:val="0"/>
                <w:bCs w:val="0"/>
                <w:szCs w:val="24"/>
              </w:rPr>
              <w:t xml:space="preserve">have been </w:t>
            </w:r>
            <w:r w:rsidR="00CF3DC1">
              <w:rPr>
                <w:rFonts w:asciiTheme="minorHAnsi" w:hAnsiTheme="minorHAnsi"/>
                <w:b w:val="0"/>
                <w:bCs w:val="0"/>
                <w:szCs w:val="24"/>
              </w:rPr>
              <w:t xml:space="preserve">developed </w:t>
            </w:r>
            <w:r w:rsidR="005B1B87">
              <w:rPr>
                <w:rFonts w:asciiTheme="minorHAnsi" w:hAnsiTheme="minorHAnsi"/>
                <w:b w:val="0"/>
                <w:bCs w:val="0"/>
                <w:szCs w:val="24"/>
              </w:rPr>
              <w:t>using co-production</w:t>
            </w:r>
            <w:r w:rsidR="0016177A">
              <w:rPr>
                <w:rFonts w:asciiTheme="minorHAnsi" w:hAnsiTheme="minorHAnsi"/>
                <w:b w:val="0"/>
                <w:bCs w:val="0"/>
                <w:szCs w:val="24"/>
              </w:rPr>
              <w:t xml:space="preserve"> with link workers</w:t>
            </w:r>
            <w:r w:rsidR="005B1B87">
              <w:rPr>
                <w:rFonts w:asciiTheme="minorHAnsi" w:hAnsiTheme="minorHAnsi"/>
                <w:b w:val="0"/>
                <w:bCs w:val="0"/>
                <w:szCs w:val="24"/>
              </w:rPr>
              <w:t>. These</w:t>
            </w:r>
            <w:r w:rsidR="00732A8E">
              <w:rPr>
                <w:rFonts w:asciiTheme="minorHAnsi" w:hAnsiTheme="minorHAnsi"/>
                <w:b w:val="0"/>
                <w:bCs w:val="0"/>
                <w:szCs w:val="24"/>
              </w:rPr>
              <w:t xml:space="preserve"> </w:t>
            </w:r>
            <w:r w:rsidR="00CF3DC1">
              <w:rPr>
                <w:rFonts w:asciiTheme="minorHAnsi" w:hAnsiTheme="minorHAnsi"/>
                <w:b w:val="0"/>
                <w:bCs w:val="0"/>
                <w:szCs w:val="24"/>
              </w:rPr>
              <w:t xml:space="preserve">allow the capturing </w:t>
            </w:r>
            <w:r w:rsidR="00093E9E">
              <w:rPr>
                <w:rFonts w:asciiTheme="minorHAnsi" w:hAnsiTheme="minorHAnsi"/>
                <w:b w:val="0"/>
                <w:bCs w:val="0"/>
                <w:szCs w:val="24"/>
              </w:rPr>
              <w:t xml:space="preserve">(via templates) </w:t>
            </w:r>
            <w:r w:rsidR="00CF3DC1">
              <w:rPr>
                <w:rFonts w:asciiTheme="minorHAnsi" w:hAnsiTheme="minorHAnsi"/>
                <w:b w:val="0"/>
                <w:bCs w:val="0"/>
                <w:szCs w:val="24"/>
              </w:rPr>
              <w:t>and feedback</w:t>
            </w:r>
            <w:r w:rsidR="00093E9E">
              <w:rPr>
                <w:rFonts w:asciiTheme="minorHAnsi" w:hAnsiTheme="minorHAnsi"/>
                <w:b w:val="0"/>
                <w:bCs w:val="0"/>
                <w:szCs w:val="24"/>
              </w:rPr>
              <w:t xml:space="preserve"> (via dashboards)</w:t>
            </w:r>
            <w:r w:rsidR="00CF3DC1">
              <w:rPr>
                <w:rFonts w:asciiTheme="minorHAnsi" w:hAnsiTheme="minorHAnsi"/>
                <w:b w:val="0"/>
                <w:bCs w:val="0"/>
                <w:szCs w:val="24"/>
              </w:rPr>
              <w:t xml:space="preserve"> of data on social prescribing activity and outcomes.  </w:t>
            </w:r>
            <w:r w:rsidR="0026455F">
              <w:rPr>
                <w:rFonts w:asciiTheme="minorHAnsi" w:hAnsiTheme="minorHAnsi"/>
                <w:b w:val="0"/>
                <w:bCs w:val="0"/>
                <w:szCs w:val="24"/>
              </w:rPr>
              <w:t xml:space="preserve">There is a commitment </w:t>
            </w:r>
            <w:r w:rsidR="0016177A">
              <w:rPr>
                <w:rFonts w:asciiTheme="minorHAnsi" w:hAnsiTheme="minorHAnsi"/>
                <w:b w:val="0"/>
                <w:bCs w:val="0"/>
                <w:szCs w:val="24"/>
              </w:rPr>
              <w:t xml:space="preserve">from the ICS </w:t>
            </w:r>
            <w:r w:rsidR="0026455F">
              <w:rPr>
                <w:rFonts w:asciiTheme="minorHAnsi" w:hAnsiTheme="minorHAnsi"/>
                <w:b w:val="0"/>
                <w:bCs w:val="0"/>
                <w:szCs w:val="24"/>
              </w:rPr>
              <w:t xml:space="preserve">towards training local link workers in capturing this data </w:t>
            </w:r>
            <w:r w:rsidR="0059538D">
              <w:rPr>
                <w:rFonts w:asciiTheme="minorHAnsi" w:hAnsiTheme="minorHAnsi"/>
                <w:b w:val="0"/>
                <w:bCs w:val="0"/>
                <w:szCs w:val="24"/>
              </w:rPr>
              <w:t xml:space="preserve">and using it </w:t>
            </w:r>
            <w:r w:rsidR="0026455F">
              <w:rPr>
                <w:rFonts w:asciiTheme="minorHAnsi" w:hAnsiTheme="minorHAnsi"/>
                <w:b w:val="0"/>
                <w:bCs w:val="0"/>
                <w:szCs w:val="24"/>
              </w:rPr>
              <w:t xml:space="preserve">for </w:t>
            </w:r>
            <w:r w:rsidR="0059538D">
              <w:rPr>
                <w:rFonts w:asciiTheme="minorHAnsi" w:hAnsiTheme="minorHAnsi"/>
                <w:b w:val="0"/>
                <w:bCs w:val="0"/>
                <w:szCs w:val="24"/>
              </w:rPr>
              <w:t xml:space="preserve">quality improvement and evaluation purposes. </w:t>
            </w:r>
          </w:p>
          <w:p w14:paraId="2D7A4C92" w14:textId="5C861086" w:rsidR="00724FAC" w:rsidRDefault="00724FAC" w:rsidP="00491940">
            <w:pPr>
              <w:spacing w:line="240" w:lineRule="auto"/>
              <w:rPr>
                <w:rFonts w:asciiTheme="minorHAnsi" w:hAnsiTheme="minorHAnsi"/>
                <w:szCs w:val="24"/>
              </w:rPr>
            </w:pPr>
          </w:p>
          <w:p w14:paraId="4D76565B" w14:textId="03DC1FC0" w:rsidR="00724FAC" w:rsidRDefault="00724FAC">
            <w:pPr>
              <w:spacing w:line="240" w:lineRule="auto"/>
              <w:rPr>
                <w:rFonts w:asciiTheme="minorHAnsi" w:hAnsiTheme="minorHAnsi"/>
                <w:szCs w:val="24"/>
              </w:rPr>
            </w:pPr>
            <w:r>
              <w:rPr>
                <w:rFonts w:asciiTheme="minorHAnsi" w:hAnsiTheme="minorHAnsi"/>
                <w:b w:val="0"/>
                <w:bCs w:val="0"/>
                <w:szCs w:val="24"/>
              </w:rPr>
              <w:t>Aims and objectives</w:t>
            </w:r>
          </w:p>
          <w:p w14:paraId="74118AF3" w14:textId="35F996D0" w:rsidR="00AD14C0" w:rsidRDefault="00E960B3">
            <w:pPr>
              <w:spacing w:line="240" w:lineRule="auto"/>
              <w:rPr>
                <w:rFonts w:asciiTheme="minorHAnsi" w:hAnsiTheme="minorHAnsi"/>
                <w:szCs w:val="24"/>
              </w:rPr>
            </w:pPr>
            <w:r>
              <w:rPr>
                <w:rFonts w:asciiTheme="minorHAnsi" w:hAnsiTheme="minorHAnsi"/>
                <w:b w:val="0"/>
                <w:bCs w:val="0"/>
                <w:szCs w:val="24"/>
              </w:rPr>
              <w:t>To undertake an outcomes and process evaluation of the social prescribing schemes in North</w:t>
            </w:r>
            <w:r w:rsidR="004279A4">
              <w:rPr>
                <w:rFonts w:asciiTheme="minorHAnsi" w:hAnsiTheme="minorHAnsi"/>
                <w:b w:val="0"/>
                <w:bCs w:val="0"/>
                <w:szCs w:val="24"/>
              </w:rPr>
              <w:t>-</w:t>
            </w:r>
            <w:r>
              <w:rPr>
                <w:rFonts w:asciiTheme="minorHAnsi" w:hAnsiTheme="minorHAnsi"/>
                <w:b w:val="0"/>
                <w:bCs w:val="0"/>
                <w:szCs w:val="24"/>
              </w:rPr>
              <w:t>East London</w:t>
            </w:r>
            <w:r w:rsidR="00AD14C0">
              <w:rPr>
                <w:rFonts w:asciiTheme="minorHAnsi" w:hAnsiTheme="minorHAnsi"/>
                <w:b w:val="0"/>
                <w:bCs w:val="0"/>
                <w:szCs w:val="24"/>
              </w:rPr>
              <w:t xml:space="preserve">. </w:t>
            </w:r>
            <w:r w:rsidR="00EC2D81">
              <w:rPr>
                <w:rFonts w:asciiTheme="minorHAnsi" w:hAnsiTheme="minorHAnsi"/>
                <w:b w:val="0"/>
                <w:bCs w:val="0"/>
                <w:szCs w:val="24"/>
              </w:rPr>
              <w:t xml:space="preserve">The fact that different areas are at different stages of development will allow </w:t>
            </w:r>
            <w:r w:rsidR="00602B20">
              <w:rPr>
                <w:rFonts w:asciiTheme="minorHAnsi" w:hAnsiTheme="minorHAnsi"/>
                <w:b w:val="0"/>
                <w:bCs w:val="0"/>
                <w:szCs w:val="24"/>
              </w:rPr>
              <w:t>comparisons</w:t>
            </w:r>
            <w:r w:rsidR="00EC2D81">
              <w:rPr>
                <w:rFonts w:asciiTheme="minorHAnsi" w:hAnsiTheme="minorHAnsi"/>
                <w:b w:val="0"/>
                <w:bCs w:val="0"/>
                <w:szCs w:val="24"/>
              </w:rPr>
              <w:t xml:space="preserve"> between areas. In addition, the data collected will allow comparative analysis of outcomes between different cohorts of </w:t>
            </w:r>
            <w:r w:rsidR="00602B20">
              <w:rPr>
                <w:rFonts w:asciiTheme="minorHAnsi" w:hAnsiTheme="minorHAnsi"/>
                <w:b w:val="0"/>
                <w:bCs w:val="0"/>
                <w:szCs w:val="24"/>
              </w:rPr>
              <w:t xml:space="preserve">people receiving social prescribing, and between different levels of social prescribing interventions. </w:t>
            </w:r>
          </w:p>
          <w:p w14:paraId="30F85398" w14:textId="3F42072E" w:rsidR="00602B20" w:rsidRDefault="00602B20">
            <w:pPr>
              <w:spacing w:line="240" w:lineRule="auto"/>
              <w:rPr>
                <w:rFonts w:asciiTheme="minorHAnsi" w:hAnsiTheme="minorHAnsi"/>
                <w:szCs w:val="24"/>
              </w:rPr>
            </w:pPr>
            <w:r>
              <w:rPr>
                <w:rFonts w:asciiTheme="minorHAnsi" w:hAnsiTheme="minorHAnsi"/>
                <w:b w:val="0"/>
                <w:bCs w:val="0"/>
                <w:szCs w:val="24"/>
              </w:rPr>
              <w:t>The objectives will be</w:t>
            </w:r>
            <w:r w:rsidR="009817D2">
              <w:rPr>
                <w:rFonts w:asciiTheme="minorHAnsi" w:hAnsiTheme="minorHAnsi"/>
                <w:b w:val="0"/>
                <w:bCs w:val="0"/>
                <w:szCs w:val="24"/>
              </w:rPr>
              <w:t xml:space="preserve"> to assess</w:t>
            </w:r>
            <w:r>
              <w:rPr>
                <w:rFonts w:asciiTheme="minorHAnsi" w:hAnsiTheme="minorHAnsi"/>
                <w:b w:val="0"/>
                <w:bCs w:val="0"/>
                <w:szCs w:val="24"/>
              </w:rPr>
              <w:t xml:space="preserve">: </w:t>
            </w:r>
          </w:p>
          <w:p w14:paraId="4A0DF3E2" w14:textId="5B0B83E8" w:rsidR="00602B20" w:rsidRDefault="009817D2" w:rsidP="00602B20">
            <w:pPr>
              <w:pStyle w:val="ListParagraph"/>
              <w:numPr>
                <w:ilvl w:val="0"/>
                <w:numId w:val="1"/>
              </w:numPr>
              <w:spacing w:line="240" w:lineRule="auto"/>
              <w:rPr>
                <w:rFonts w:asciiTheme="minorHAnsi" w:hAnsiTheme="minorHAnsi"/>
                <w:szCs w:val="24"/>
              </w:rPr>
            </w:pPr>
            <w:r>
              <w:rPr>
                <w:rFonts w:asciiTheme="minorHAnsi" w:hAnsiTheme="minorHAnsi"/>
                <w:b w:val="0"/>
                <w:bCs w:val="0"/>
                <w:szCs w:val="24"/>
              </w:rPr>
              <w:t>The impact of social prescribing interventions across different populations</w:t>
            </w:r>
            <w:r w:rsidR="00523639">
              <w:rPr>
                <w:rFonts w:asciiTheme="minorHAnsi" w:hAnsiTheme="minorHAnsi"/>
                <w:b w:val="0"/>
                <w:bCs w:val="0"/>
                <w:szCs w:val="24"/>
              </w:rPr>
              <w:t xml:space="preserve"> (broken down by age, sex, ethnicity, disability)</w:t>
            </w:r>
            <w:r w:rsidR="00B542A4">
              <w:rPr>
                <w:rFonts w:asciiTheme="minorHAnsi" w:hAnsiTheme="minorHAnsi"/>
                <w:b w:val="0"/>
                <w:bCs w:val="0"/>
                <w:szCs w:val="24"/>
              </w:rPr>
              <w:t xml:space="preserve">, </w:t>
            </w:r>
            <w:r w:rsidR="00236D9F">
              <w:rPr>
                <w:rFonts w:asciiTheme="minorHAnsi" w:hAnsiTheme="minorHAnsi"/>
                <w:b w:val="0"/>
                <w:bCs w:val="0"/>
                <w:szCs w:val="24"/>
              </w:rPr>
              <w:t>different reasons for referral (</w:t>
            </w:r>
            <w:proofErr w:type="gramStart"/>
            <w:r w:rsidR="00236D9F">
              <w:rPr>
                <w:rFonts w:asciiTheme="minorHAnsi" w:hAnsiTheme="minorHAnsi"/>
                <w:b w:val="0"/>
                <w:bCs w:val="0"/>
                <w:szCs w:val="24"/>
              </w:rPr>
              <w:t>e.g.</w:t>
            </w:r>
            <w:proofErr w:type="gramEnd"/>
            <w:r w:rsidR="00236D9F">
              <w:rPr>
                <w:rFonts w:asciiTheme="minorHAnsi" w:hAnsiTheme="minorHAnsi"/>
                <w:b w:val="0"/>
                <w:bCs w:val="0"/>
                <w:szCs w:val="24"/>
              </w:rPr>
              <w:t xml:space="preserve"> </w:t>
            </w:r>
            <w:r w:rsidR="003D0C1B">
              <w:rPr>
                <w:rFonts w:asciiTheme="minorHAnsi" w:hAnsiTheme="minorHAnsi"/>
                <w:b w:val="0"/>
                <w:bCs w:val="0"/>
                <w:szCs w:val="24"/>
              </w:rPr>
              <w:t>financial, employment, weight issues)</w:t>
            </w:r>
            <w:r w:rsidR="00473A68">
              <w:rPr>
                <w:rFonts w:asciiTheme="minorHAnsi" w:hAnsiTheme="minorHAnsi"/>
                <w:b w:val="0"/>
                <w:bCs w:val="0"/>
                <w:szCs w:val="24"/>
              </w:rPr>
              <w:t xml:space="preserve">, type of intervention (e.g. </w:t>
            </w:r>
            <w:r w:rsidR="009A702C">
              <w:rPr>
                <w:rFonts w:asciiTheme="minorHAnsi" w:hAnsiTheme="minorHAnsi"/>
                <w:b w:val="0"/>
                <w:bCs w:val="0"/>
                <w:szCs w:val="24"/>
              </w:rPr>
              <w:t xml:space="preserve">onward </w:t>
            </w:r>
            <w:r w:rsidR="00A64681">
              <w:rPr>
                <w:rFonts w:asciiTheme="minorHAnsi" w:hAnsiTheme="minorHAnsi"/>
                <w:b w:val="0"/>
                <w:bCs w:val="0"/>
                <w:szCs w:val="24"/>
              </w:rPr>
              <w:t xml:space="preserve">referral, </w:t>
            </w:r>
            <w:r w:rsidR="0018282F">
              <w:rPr>
                <w:rFonts w:asciiTheme="minorHAnsi" w:hAnsiTheme="minorHAnsi"/>
                <w:b w:val="0"/>
                <w:bCs w:val="0"/>
                <w:szCs w:val="24"/>
              </w:rPr>
              <w:t xml:space="preserve">advocacy, </w:t>
            </w:r>
            <w:r w:rsidR="00C63ADB">
              <w:rPr>
                <w:rFonts w:asciiTheme="minorHAnsi" w:hAnsiTheme="minorHAnsi"/>
                <w:b w:val="0"/>
                <w:bCs w:val="0"/>
                <w:szCs w:val="24"/>
              </w:rPr>
              <w:t>motivational interviewing, health coaching etc)</w:t>
            </w:r>
            <w:r w:rsidR="00473A68">
              <w:rPr>
                <w:rFonts w:asciiTheme="minorHAnsi" w:hAnsiTheme="minorHAnsi"/>
                <w:b w:val="0"/>
                <w:bCs w:val="0"/>
                <w:szCs w:val="24"/>
              </w:rPr>
              <w:t xml:space="preserve"> and different stages of scheme maturity. </w:t>
            </w:r>
          </w:p>
          <w:p w14:paraId="1C557649" w14:textId="78011575" w:rsidR="00473A68" w:rsidRDefault="00473A68" w:rsidP="00602B20">
            <w:pPr>
              <w:pStyle w:val="ListParagraph"/>
              <w:numPr>
                <w:ilvl w:val="0"/>
                <w:numId w:val="1"/>
              </w:numPr>
              <w:spacing w:line="240" w:lineRule="auto"/>
              <w:rPr>
                <w:rFonts w:asciiTheme="minorHAnsi" w:hAnsiTheme="minorHAnsi"/>
                <w:szCs w:val="24"/>
              </w:rPr>
            </w:pPr>
            <w:r>
              <w:rPr>
                <w:rFonts w:asciiTheme="minorHAnsi" w:hAnsiTheme="minorHAnsi"/>
                <w:b w:val="0"/>
                <w:bCs w:val="0"/>
                <w:szCs w:val="24"/>
              </w:rPr>
              <w:t>The impact of social prescribing interventions</w:t>
            </w:r>
            <w:r w:rsidR="00C63ADB">
              <w:rPr>
                <w:rFonts w:asciiTheme="minorHAnsi" w:hAnsiTheme="minorHAnsi"/>
                <w:b w:val="0"/>
                <w:bCs w:val="0"/>
                <w:szCs w:val="24"/>
              </w:rPr>
              <w:t xml:space="preserve"> on the health system</w:t>
            </w:r>
            <w:r w:rsidR="009B1F28">
              <w:rPr>
                <w:rFonts w:asciiTheme="minorHAnsi" w:hAnsiTheme="minorHAnsi"/>
                <w:b w:val="0"/>
                <w:bCs w:val="0"/>
                <w:szCs w:val="24"/>
              </w:rPr>
              <w:t>, including hospital attendances (hospitalisations, A&amp;E)</w:t>
            </w:r>
            <w:r w:rsidR="009059EE">
              <w:rPr>
                <w:rFonts w:asciiTheme="minorHAnsi" w:hAnsiTheme="minorHAnsi"/>
                <w:b w:val="0"/>
                <w:bCs w:val="0"/>
                <w:szCs w:val="24"/>
              </w:rPr>
              <w:t xml:space="preserve"> and</w:t>
            </w:r>
            <w:r w:rsidR="009B1F28">
              <w:rPr>
                <w:rFonts w:asciiTheme="minorHAnsi" w:hAnsiTheme="minorHAnsi"/>
                <w:b w:val="0"/>
                <w:bCs w:val="0"/>
                <w:szCs w:val="24"/>
              </w:rPr>
              <w:t xml:space="preserve"> GP attendances</w:t>
            </w:r>
            <w:r w:rsidR="009059EE">
              <w:rPr>
                <w:rFonts w:asciiTheme="minorHAnsi" w:hAnsiTheme="minorHAnsi"/>
                <w:b w:val="0"/>
                <w:bCs w:val="0"/>
                <w:szCs w:val="24"/>
              </w:rPr>
              <w:t xml:space="preserve">. </w:t>
            </w:r>
          </w:p>
          <w:p w14:paraId="2E4B309C" w14:textId="2157C49A" w:rsidR="009059EE" w:rsidRPr="00602B20" w:rsidRDefault="009059EE" w:rsidP="00602B20">
            <w:pPr>
              <w:pStyle w:val="ListParagraph"/>
              <w:numPr>
                <w:ilvl w:val="0"/>
                <w:numId w:val="1"/>
              </w:numPr>
              <w:spacing w:line="240" w:lineRule="auto"/>
              <w:rPr>
                <w:rFonts w:asciiTheme="minorHAnsi" w:hAnsiTheme="minorHAnsi"/>
                <w:szCs w:val="24"/>
              </w:rPr>
            </w:pPr>
            <w:r>
              <w:rPr>
                <w:rFonts w:asciiTheme="minorHAnsi" w:hAnsiTheme="minorHAnsi"/>
                <w:b w:val="0"/>
                <w:bCs w:val="0"/>
                <w:szCs w:val="24"/>
              </w:rPr>
              <w:t>Staff (</w:t>
            </w:r>
            <w:r w:rsidR="005A06A4">
              <w:rPr>
                <w:rFonts w:asciiTheme="minorHAnsi" w:hAnsiTheme="minorHAnsi"/>
                <w:b w:val="0"/>
                <w:bCs w:val="0"/>
                <w:szCs w:val="24"/>
              </w:rPr>
              <w:t xml:space="preserve">link worker) and service user experience. </w:t>
            </w:r>
          </w:p>
          <w:p w14:paraId="5B6AB756" w14:textId="71423671" w:rsidR="00EC2D81" w:rsidRPr="00EC2D81" w:rsidRDefault="00EC2D81">
            <w:pPr>
              <w:spacing w:line="240" w:lineRule="auto"/>
              <w:rPr>
                <w:rFonts w:asciiTheme="minorHAnsi" w:hAnsiTheme="minorHAnsi"/>
                <w:b w:val="0"/>
                <w:bCs w:val="0"/>
                <w:szCs w:val="24"/>
              </w:rPr>
            </w:pPr>
          </w:p>
          <w:p w14:paraId="2EBABE8D" w14:textId="3F1E19FE" w:rsidR="00724FAC" w:rsidRPr="00E960B3" w:rsidRDefault="00724FAC">
            <w:pPr>
              <w:spacing w:line="240" w:lineRule="auto"/>
              <w:rPr>
                <w:rFonts w:asciiTheme="minorHAnsi" w:hAnsiTheme="minorHAnsi"/>
                <w:b w:val="0"/>
                <w:bCs w:val="0"/>
                <w:szCs w:val="24"/>
              </w:rPr>
            </w:pPr>
          </w:p>
          <w:p w14:paraId="4F35FB06" w14:textId="08DB6E14" w:rsidR="00724FAC" w:rsidRDefault="00724FAC">
            <w:pPr>
              <w:spacing w:line="240" w:lineRule="auto"/>
              <w:rPr>
                <w:rFonts w:asciiTheme="minorHAnsi" w:hAnsiTheme="minorHAnsi"/>
                <w:szCs w:val="24"/>
              </w:rPr>
            </w:pPr>
            <w:r>
              <w:rPr>
                <w:rFonts w:asciiTheme="minorHAnsi" w:hAnsiTheme="minorHAnsi"/>
                <w:b w:val="0"/>
                <w:bCs w:val="0"/>
                <w:szCs w:val="24"/>
              </w:rPr>
              <w:t>Method(s)</w:t>
            </w:r>
          </w:p>
          <w:p w14:paraId="3A68A6AE" w14:textId="505081FD" w:rsidR="00732A8E" w:rsidRPr="00732A8E" w:rsidRDefault="00732A8E">
            <w:pPr>
              <w:spacing w:line="240" w:lineRule="auto"/>
              <w:rPr>
                <w:rFonts w:asciiTheme="minorHAnsi" w:hAnsiTheme="minorHAnsi"/>
                <w:b w:val="0"/>
                <w:bCs w:val="0"/>
                <w:szCs w:val="24"/>
              </w:rPr>
            </w:pPr>
            <w:r>
              <w:rPr>
                <w:rFonts w:asciiTheme="minorHAnsi" w:hAnsiTheme="minorHAnsi"/>
                <w:b w:val="0"/>
                <w:bCs w:val="0"/>
                <w:szCs w:val="24"/>
              </w:rPr>
              <w:t>It has been found that c</w:t>
            </w:r>
            <w:r w:rsidRPr="00732A8E">
              <w:rPr>
                <w:rFonts w:asciiTheme="minorHAnsi" w:hAnsiTheme="minorHAnsi"/>
                <w:b w:val="0"/>
                <w:bCs w:val="0"/>
                <w:szCs w:val="24"/>
              </w:rPr>
              <w:t xml:space="preserve">oproduction, alignment, research agency, sequential </w:t>
            </w:r>
            <w:proofErr w:type="gramStart"/>
            <w:r w:rsidRPr="00732A8E">
              <w:rPr>
                <w:rFonts w:asciiTheme="minorHAnsi" w:hAnsiTheme="minorHAnsi"/>
                <w:b w:val="0"/>
                <w:bCs w:val="0"/>
                <w:szCs w:val="24"/>
              </w:rPr>
              <w:t>mixed-methods</w:t>
            </w:r>
            <w:proofErr w:type="gramEnd"/>
            <w:r w:rsidRPr="00732A8E">
              <w:rPr>
                <w:rFonts w:asciiTheme="minorHAnsi" w:hAnsiTheme="minorHAnsi"/>
                <w:b w:val="0"/>
                <w:bCs w:val="0"/>
                <w:szCs w:val="24"/>
              </w:rPr>
              <w:t xml:space="preserve"> design and integration of findings</w:t>
            </w:r>
            <w:r w:rsidR="004F6453">
              <w:rPr>
                <w:rFonts w:asciiTheme="minorHAnsi" w:hAnsiTheme="minorHAnsi"/>
                <w:b w:val="0"/>
                <w:bCs w:val="0"/>
                <w:szCs w:val="24"/>
              </w:rPr>
              <w:t>,</w:t>
            </w:r>
            <w:r w:rsidRPr="00732A8E">
              <w:rPr>
                <w:rFonts w:asciiTheme="minorHAnsi" w:hAnsiTheme="minorHAnsi"/>
                <w:b w:val="0"/>
                <w:bCs w:val="0"/>
                <w:szCs w:val="24"/>
              </w:rPr>
              <w:t xml:space="preserve"> contribute to the development of a</w:t>
            </w:r>
            <w:r w:rsidR="004E7EC6">
              <w:rPr>
                <w:rFonts w:asciiTheme="minorHAnsi" w:hAnsiTheme="minorHAnsi"/>
                <w:b w:val="0"/>
                <w:bCs w:val="0"/>
                <w:szCs w:val="24"/>
              </w:rPr>
              <w:t xml:space="preserve"> </w:t>
            </w:r>
            <w:r w:rsidRPr="00732A8E">
              <w:rPr>
                <w:rFonts w:asciiTheme="minorHAnsi" w:hAnsiTheme="minorHAnsi"/>
                <w:b w:val="0"/>
                <w:bCs w:val="0"/>
                <w:szCs w:val="24"/>
              </w:rPr>
              <w:t>high-quality social prescribing evaluation design.</w:t>
            </w:r>
            <w:r w:rsidR="004E7EC6">
              <w:rPr>
                <w:rStyle w:val="EndnoteReference"/>
                <w:rFonts w:asciiTheme="minorHAnsi" w:hAnsiTheme="minorHAnsi"/>
                <w:b w:val="0"/>
                <w:bCs w:val="0"/>
                <w:szCs w:val="24"/>
              </w:rPr>
              <w:endnoteReference w:id="4"/>
            </w:r>
            <w:r w:rsidR="004F6453">
              <w:rPr>
                <w:rFonts w:asciiTheme="minorHAnsi" w:hAnsiTheme="minorHAnsi"/>
                <w:b w:val="0"/>
                <w:bCs w:val="0"/>
                <w:szCs w:val="24"/>
              </w:rPr>
              <w:t xml:space="preserve"> These elements will </w:t>
            </w:r>
            <w:r w:rsidR="000C5C12">
              <w:rPr>
                <w:rFonts w:asciiTheme="minorHAnsi" w:hAnsiTheme="minorHAnsi"/>
                <w:b w:val="0"/>
                <w:bCs w:val="0"/>
                <w:szCs w:val="24"/>
              </w:rPr>
              <w:t xml:space="preserve">guide this project. </w:t>
            </w:r>
          </w:p>
          <w:p w14:paraId="613DDD5B" w14:textId="304BADE2" w:rsidR="00FE433B" w:rsidRDefault="004F7FE3">
            <w:pPr>
              <w:spacing w:line="240" w:lineRule="auto"/>
              <w:rPr>
                <w:rFonts w:asciiTheme="minorHAnsi" w:hAnsiTheme="minorHAnsi"/>
                <w:szCs w:val="24"/>
              </w:rPr>
            </w:pPr>
            <w:r>
              <w:rPr>
                <w:rFonts w:asciiTheme="minorHAnsi" w:hAnsiTheme="minorHAnsi"/>
                <w:b w:val="0"/>
                <w:bCs w:val="0"/>
                <w:szCs w:val="24"/>
              </w:rPr>
              <w:t>Data from th</w:t>
            </w:r>
            <w:r w:rsidR="000C5C12">
              <w:rPr>
                <w:rFonts w:asciiTheme="minorHAnsi" w:hAnsiTheme="minorHAnsi"/>
                <w:b w:val="0"/>
                <w:bCs w:val="0"/>
                <w:szCs w:val="24"/>
              </w:rPr>
              <w:t>e</w:t>
            </w:r>
            <w:r>
              <w:rPr>
                <w:rFonts w:asciiTheme="minorHAnsi" w:hAnsiTheme="minorHAnsi"/>
                <w:b w:val="0"/>
                <w:bCs w:val="0"/>
                <w:szCs w:val="24"/>
              </w:rPr>
              <w:t xml:space="preserve"> </w:t>
            </w:r>
            <w:r w:rsidR="00AD2147">
              <w:rPr>
                <w:rFonts w:asciiTheme="minorHAnsi" w:hAnsiTheme="minorHAnsi"/>
                <w:b w:val="0"/>
                <w:bCs w:val="0"/>
                <w:szCs w:val="24"/>
              </w:rPr>
              <w:t xml:space="preserve">social prescribing </w:t>
            </w:r>
            <w:r>
              <w:rPr>
                <w:rFonts w:asciiTheme="minorHAnsi" w:hAnsiTheme="minorHAnsi"/>
                <w:b w:val="0"/>
                <w:bCs w:val="0"/>
                <w:szCs w:val="24"/>
              </w:rPr>
              <w:t xml:space="preserve">template in patient electronic records will be used to </w:t>
            </w:r>
            <w:r w:rsidR="00026BA9">
              <w:rPr>
                <w:rFonts w:asciiTheme="minorHAnsi" w:hAnsiTheme="minorHAnsi"/>
                <w:b w:val="0"/>
                <w:bCs w:val="0"/>
                <w:szCs w:val="24"/>
              </w:rPr>
              <w:t>answer the first objective</w:t>
            </w:r>
            <w:r w:rsidR="000C5C12">
              <w:rPr>
                <w:rFonts w:asciiTheme="minorHAnsi" w:hAnsiTheme="minorHAnsi"/>
                <w:b w:val="0"/>
                <w:bCs w:val="0"/>
                <w:szCs w:val="24"/>
              </w:rPr>
              <w:t xml:space="preserve"> of the study. </w:t>
            </w:r>
            <w:r w:rsidR="00AD2147">
              <w:rPr>
                <w:rFonts w:asciiTheme="minorHAnsi" w:hAnsiTheme="minorHAnsi"/>
                <w:b w:val="0"/>
                <w:bCs w:val="0"/>
                <w:szCs w:val="24"/>
              </w:rPr>
              <w:t xml:space="preserve">The template captures information on activity, reason for referral, </w:t>
            </w:r>
            <w:r w:rsidR="00B57475">
              <w:rPr>
                <w:rFonts w:asciiTheme="minorHAnsi" w:hAnsiTheme="minorHAnsi"/>
                <w:b w:val="0"/>
                <w:bCs w:val="0"/>
                <w:szCs w:val="24"/>
              </w:rPr>
              <w:t xml:space="preserve">service user </w:t>
            </w:r>
            <w:r w:rsidR="00345892">
              <w:rPr>
                <w:rFonts w:asciiTheme="minorHAnsi" w:hAnsiTheme="minorHAnsi"/>
                <w:b w:val="0"/>
                <w:bCs w:val="0"/>
                <w:szCs w:val="24"/>
              </w:rPr>
              <w:t xml:space="preserve">demographics and </w:t>
            </w:r>
            <w:r w:rsidR="00B57475">
              <w:rPr>
                <w:rFonts w:asciiTheme="minorHAnsi" w:hAnsiTheme="minorHAnsi"/>
                <w:b w:val="0"/>
                <w:bCs w:val="0"/>
                <w:szCs w:val="24"/>
              </w:rPr>
              <w:t>need</w:t>
            </w:r>
            <w:r w:rsidR="00345892">
              <w:rPr>
                <w:rFonts w:asciiTheme="minorHAnsi" w:hAnsiTheme="minorHAnsi"/>
                <w:b w:val="0"/>
                <w:bCs w:val="0"/>
                <w:szCs w:val="24"/>
              </w:rPr>
              <w:t>s</w:t>
            </w:r>
            <w:r w:rsidR="00B57475">
              <w:rPr>
                <w:rFonts w:asciiTheme="minorHAnsi" w:hAnsiTheme="minorHAnsi"/>
                <w:b w:val="0"/>
                <w:bCs w:val="0"/>
                <w:szCs w:val="24"/>
              </w:rPr>
              <w:t xml:space="preserve">, </w:t>
            </w:r>
            <w:r w:rsidR="00AD2147">
              <w:rPr>
                <w:rFonts w:asciiTheme="minorHAnsi" w:hAnsiTheme="minorHAnsi"/>
                <w:b w:val="0"/>
                <w:bCs w:val="0"/>
                <w:szCs w:val="24"/>
              </w:rPr>
              <w:t xml:space="preserve">type and intensity of intervention and service user outcomes. </w:t>
            </w:r>
          </w:p>
          <w:p w14:paraId="00E60AF8" w14:textId="564EB053" w:rsidR="00EE5E1D" w:rsidRDefault="00FE433B" w:rsidP="004C63B6">
            <w:pPr>
              <w:spacing w:line="240" w:lineRule="auto"/>
              <w:rPr>
                <w:rFonts w:asciiTheme="minorHAnsi" w:hAnsiTheme="minorHAnsi"/>
                <w:szCs w:val="24"/>
              </w:rPr>
            </w:pPr>
            <w:r>
              <w:rPr>
                <w:rFonts w:asciiTheme="minorHAnsi" w:hAnsiTheme="minorHAnsi"/>
                <w:b w:val="0"/>
                <w:bCs w:val="0"/>
                <w:szCs w:val="24"/>
              </w:rPr>
              <w:t xml:space="preserve">The </w:t>
            </w:r>
            <w:r w:rsidRPr="00FE433B">
              <w:rPr>
                <w:rFonts w:asciiTheme="minorHAnsi" w:hAnsiTheme="minorHAnsi"/>
                <w:b w:val="0"/>
                <w:bCs w:val="0"/>
                <w:szCs w:val="24"/>
              </w:rPr>
              <w:t>Office for National Statistics personal wellbeing scale (ONS4)</w:t>
            </w:r>
            <w:r w:rsidR="00026BA9">
              <w:rPr>
                <w:rFonts w:asciiTheme="minorHAnsi" w:hAnsiTheme="minorHAnsi"/>
                <w:b w:val="0"/>
                <w:bCs w:val="0"/>
                <w:szCs w:val="24"/>
              </w:rPr>
              <w:t xml:space="preserve"> </w:t>
            </w:r>
            <w:r>
              <w:rPr>
                <w:rFonts w:asciiTheme="minorHAnsi" w:hAnsiTheme="minorHAnsi"/>
                <w:b w:val="0"/>
                <w:bCs w:val="0"/>
                <w:szCs w:val="24"/>
              </w:rPr>
              <w:t xml:space="preserve">is used for the assessment of </w:t>
            </w:r>
            <w:r w:rsidR="004C63B6" w:rsidRPr="004C63B6">
              <w:rPr>
                <w:rFonts w:asciiTheme="minorHAnsi" w:hAnsiTheme="minorHAnsi"/>
                <w:b w:val="0"/>
                <w:bCs w:val="0"/>
                <w:szCs w:val="24"/>
              </w:rPr>
              <w:t xml:space="preserve">General health, </w:t>
            </w:r>
            <w:proofErr w:type="gramStart"/>
            <w:r w:rsidR="004C63B6" w:rsidRPr="004C63B6">
              <w:rPr>
                <w:rFonts w:asciiTheme="minorHAnsi" w:hAnsiTheme="minorHAnsi"/>
                <w:b w:val="0"/>
                <w:bCs w:val="0"/>
                <w:szCs w:val="24"/>
              </w:rPr>
              <w:t>well-being</w:t>
            </w:r>
            <w:proofErr w:type="gramEnd"/>
            <w:r w:rsidR="004C63B6" w:rsidRPr="004C63B6">
              <w:rPr>
                <w:rFonts w:asciiTheme="minorHAnsi" w:hAnsiTheme="minorHAnsi"/>
                <w:b w:val="0"/>
                <w:bCs w:val="0"/>
                <w:szCs w:val="24"/>
              </w:rPr>
              <w:t xml:space="preserve"> </w:t>
            </w:r>
            <w:r w:rsidR="004C63B6">
              <w:rPr>
                <w:rFonts w:asciiTheme="minorHAnsi" w:hAnsiTheme="minorHAnsi"/>
                <w:b w:val="0"/>
                <w:bCs w:val="0"/>
                <w:szCs w:val="24"/>
              </w:rPr>
              <w:t>and</w:t>
            </w:r>
            <w:r w:rsidR="004C63B6" w:rsidRPr="004C63B6">
              <w:rPr>
                <w:rFonts w:asciiTheme="minorHAnsi" w:hAnsiTheme="minorHAnsi"/>
                <w:b w:val="0"/>
                <w:bCs w:val="0"/>
                <w:szCs w:val="24"/>
              </w:rPr>
              <w:t xml:space="preserve"> quality </w:t>
            </w:r>
            <w:r w:rsidR="004C63B6">
              <w:rPr>
                <w:rFonts w:asciiTheme="minorHAnsi" w:hAnsiTheme="minorHAnsi"/>
                <w:b w:val="0"/>
                <w:bCs w:val="0"/>
                <w:szCs w:val="24"/>
              </w:rPr>
              <w:t>o</w:t>
            </w:r>
            <w:r w:rsidR="004C63B6" w:rsidRPr="004C63B6">
              <w:rPr>
                <w:rFonts w:asciiTheme="minorHAnsi" w:hAnsiTheme="minorHAnsi"/>
                <w:b w:val="0"/>
                <w:bCs w:val="0"/>
                <w:szCs w:val="24"/>
              </w:rPr>
              <w:t>f life</w:t>
            </w:r>
            <w:r w:rsidR="004C63B6">
              <w:rPr>
                <w:rFonts w:asciiTheme="minorHAnsi" w:hAnsiTheme="minorHAnsi"/>
                <w:b w:val="0"/>
                <w:bCs w:val="0"/>
                <w:szCs w:val="24"/>
              </w:rPr>
              <w:t xml:space="preserve">. ONS4 is </w:t>
            </w:r>
            <w:r w:rsidR="003F4473">
              <w:rPr>
                <w:rFonts w:asciiTheme="minorHAnsi" w:hAnsiTheme="minorHAnsi"/>
                <w:b w:val="0"/>
                <w:bCs w:val="0"/>
                <w:szCs w:val="24"/>
              </w:rPr>
              <w:t>one of the recommended</w:t>
            </w:r>
            <w:r w:rsidR="004C63B6">
              <w:rPr>
                <w:rFonts w:asciiTheme="minorHAnsi" w:hAnsiTheme="minorHAnsi"/>
                <w:b w:val="0"/>
                <w:bCs w:val="0"/>
                <w:szCs w:val="24"/>
              </w:rPr>
              <w:t xml:space="preserve"> measure</w:t>
            </w:r>
            <w:r w:rsidR="003F4473">
              <w:rPr>
                <w:rFonts w:asciiTheme="minorHAnsi" w:hAnsiTheme="minorHAnsi"/>
                <w:b w:val="0"/>
                <w:bCs w:val="0"/>
                <w:szCs w:val="24"/>
              </w:rPr>
              <w:t>s for the evaluation of social prescribing</w:t>
            </w:r>
            <w:r w:rsidR="003F4473">
              <w:rPr>
                <w:rStyle w:val="EndnoteReference"/>
                <w:rFonts w:asciiTheme="minorHAnsi" w:hAnsiTheme="minorHAnsi"/>
                <w:b w:val="0"/>
                <w:bCs w:val="0"/>
                <w:szCs w:val="24"/>
              </w:rPr>
              <w:endnoteReference w:id="5"/>
            </w:r>
            <w:r w:rsidR="003F4473">
              <w:rPr>
                <w:rFonts w:asciiTheme="minorHAnsi" w:hAnsiTheme="minorHAnsi"/>
                <w:b w:val="0"/>
                <w:bCs w:val="0"/>
                <w:szCs w:val="24"/>
              </w:rPr>
              <w:t xml:space="preserve"> </w:t>
            </w:r>
            <w:r w:rsidR="004C63B6">
              <w:rPr>
                <w:rFonts w:asciiTheme="minorHAnsi" w:hAnsiTheme="minorHAnsi"/>
                <w:b w:val="0"/>
                <w:bCs w:val="0"/>
                <w:szCs w:val="24"/>
              </w:rPr>
              <w:t xml:space="preserve"> </w:t>
            </w:r>
            <w:r w:rsidR="00ED1398">
              <w:rPr>
                <w:rFonts w:asciiTheme="minorHAnsi" w:hAnsiTheme="minorHAnsi"/>
                <w:b w:val="0"/>
                <w:bCs w:val="0"/>
                <w:szCs w:val="24"/>
              </w:rPr>
              <w:t xml:space="preserve">and is increasingly used by </w:t>
            </w:r>
            <w:r w:rsidR="005B586C">
              <w:rPr>
                <w:rFonts w:asciiTheme="minorHAnsi" w:hAnsiTheme="minorHAnsi"/>
                <w:b w:val="0"/>
                <w:bCs w:val="0"/>
                <w:szCs w:val="24"/>
              </w:rPr>
              <w:t xml:space="preserve">different </w:t>
            </w:r>
            <w:r w:rsidR="00ED1398" w:rsidRPr="00ED1398">
              <w:rPr>
                <w:rFonts w:asciiTheme="minorHAnsi" w:hAnsiTheme="minorHAnsi"/>
                <w:b w:val="0"/>
                <w:bCs w:val="0"/>
                <w:szCs w:val="24"/>
              </w:rPr>
              <w:t>organisations to evaluate wellbeing interventions</w:t>
            </w:r>
            <w:r w:rsidR="00ED1398">
              <w:rPr>
                <w:rFonts w:asciiTheme="minorHAnsi" w:hAnsiTheme="minorHAnsi"/>
                <w:b w:val="0"/>
                <w:bCs w:val="0"/>
                <w:szCs w:val="24"/>
              </w:rPr>
              <w:t xml:space="preserve">. </w:t>
            </w:r>
            <w:r w:rsidR="00ED1398">
              <w:rPr>
                <w:rStyle w:val="EndnoteReference"/>
                <w:rFonts w:asciiTheme="minorHAnsi" w:hAnsiTheme="minorHAnsi"/>
                <w:b w:val="0"/>
                <w:bCs w:val="0"/>
                <w:szCs w:val="24"/>
              </w:rPr>
              <w:endnoteReference w:id="6"/>
            </w:r>
          </w:p>
          <w:p w14:paraId="6B7C3EF1" w14:textId="77777777" w:rsidR="00A75EBB" w:rsidRPr="00A43428" w:rsidRDefault="00A75EBB" w:rsidP="00A75EBB">
            <w:pPr>
              <w:spacing w:line="240" w:lineRule="auto"/>
              <w:rPr>
                <w:rFonts w:asciiTheme="minorHAnsi" w:hAnsiTheme="minorHAnsi"/>
                <w:b w:val="0"/>
                <w:bCs w:val="0"/>
                <w:szCs w:val="24"/>
              </w:rPr>
            </w:pPr>
            <w:r>
              <w:rPr>
                <w:rFonts w:asciiTheme="minorHAnsi" w:hAnsiTheme="minorHAnsi"/>
                <w:b w:val="0"/>
                <w:bCs w:val="0"/>
                <w:szCs w:val="24"/>
              </w:rPr>
              <w:lastRenderedPageBreak/>
              <w:t xml:space="preserve">The available data will be used to enable comparative analysis of effectiveness between areas at different stage of development, and between different cohorts of service users, and different types of social prescribing interventions.  </w:t>
            </w:r>
          </w:p>
          <w:p w14:paraId="71DD5790" w14:textId="0476C863" w:rsidR="00F269C4" w:rsidRDefault="005B586C" w:rsidP="004C63B6">
            <w:pPr>
              <w:spacing w:line="240" w:lineRule="auto"/>
              <w:rPr>
                <w:rFonts w:asciiTheme="minorHAnsi" w:hAnsiTheme="minorHAnsi"/>
                <w:szCs w:val="24"/>
              </w:rPr>
            </w:pPr>
            <w:r>
              <w:rPr>
                <w:rFonts w:asciiTheme="minorHAnsi" w:hAnsiTheme="minorHAnsi"/>
                <w:b w:val="0"/>
                <w:bCs w:val="0"/>
                <w:szCs w:val="24"/>
              </w:rPr>
              <w:t xml:space="preserve">Data from </w:t>
            </w:r>
            <w:r w:rsidR="00C65578">
              <w:rPr>
                <w:rFonts w:asciiTheme="minorHAnsi" w:hAnsiTheme="minorHAnsi"/>
                <w:b w:val="0"/>
                <w:bCs w:val="0"/>
                <w:szCs w:val="24"/>
              </w:rPr>
              <w:t xml:space="preserve">Discovery </w:t>
            </w:r>
            <w:r w:rsidR="003C1A38">
              <w:rPr>
                <w:rFonts w:asciiTheme="minorHAnsi" w:hAnsiTheme="minorHAnsi"/>
                <w:b w:val="0"/>
                <w:bCs w:val="0"/>
                <w:szCs w:val="24"/>
              </w:rPr>
              <w:t xml:space="preserve">dataset </w:t>
            </w:r>
            <w:r w:rsidR="003C1A38">
              <w:rPr>
                <w:rStyle w:val="EndnoteReference"/>
                <w:rFonts w:asciiTheme="minorHAnsi" w:hAnsiTheme="minorHAnsi"/>
                <w:b w:val="0"/>
                <w:bCs w:val="0"/>
                <w:szCs w:val="24"/>
              </w:rPr>
              <w:endnoteReference w:id="7"/>
            </w:r>
            <w:r w:rsidR="003C1A38">
              <w:rPr>
                <w:rFonts w:asciiTheme="minorHAnsi" w:hAnsiTheme="minorHAnsi"/>
                <w:b w:val="0"/>
                <w:bCs w:val="0"/>
                <w:szCs w:val="24"/>
              </w:rPr>
              <w:t xml:space="preserve"> will be used to assess the impact on GP and hospital service utilisation. </w:t>
            </w:r>
          </w:p>
          <w:p w14:paraId="0755E697" w14:textId="77777777" w:rsidR="00C22875" w:rsidRDefault="005E01AE" w:rsidP="004C63B6">
            <w:pPr>
              <w:spacing w:line="240" w:lineRule="auto"/>
              <w:rPr>
                <w:rFonts w:asciiTheme="minorHAnsi" w:hAnsiTheme="minorHAnsi"/>
                <w:szCs w:val="24"/>
              </w:rPr>
            </w:pPr>
            <w:r>
              <w:rPr>
                <w:rFonts w:asciiTheme="minorHAnsi" w:hAnsiTheme="minorHAnsi"/>
                <w:b w:val="0"/>
                <w:bCs w:val="0"/>
                <w:szCs w:val="24"/>
              </w:rPr>
              <w:t>Staff (link worker) and service user questionnaires will be used to assess their experience.</w:t>
            </w:r>
            <w:r w:rsidR="00345892">
              <w:rPr>
                <w:rFonts w:asciiTheme="minorHAnsi" w:hAnsiTheme="minorHAnsi"/>
                <w:b w:val="0"/>
                <w:bCs w:val="0"/>
                <w:szCs w:val="24"/>
              </w:rPr>
              <w:t xml:space="preserve"> </w:t>
            </w:r>
          </w:p>
          <w:p w14:paraId="651AA00C" w14:textId="497AE1B2" w:rsidR="00724FAC" w:rsidRDefault="00724FAC">
            <w:pPr>
              <w:spacing w:line="240" w:lineRule="auto"/>
              <w:rPr>
                <w:rFonts w:asciiTheme="minorHAnsi" w:hAnsiTheme="minorHAnsi"/>
                <w:szCs w:val="24"/>
              </w:rPr>
            </w:pPr>
          </w:p>
          <w:p w14:paraId="0A3154BD" w14:textId="1E769472" w:rsidR="00724FAC" w:rsidRDefault="00724FAC">
            <w:pPr>
              <w:spacing w:line="240" w:lineRule="auto"/>
              <w:rPr>
                <w:rFonts w:asciiTheme="minorHAnsi" w:hAnsiTheme="minorHAnsi"/>
                <w:b w:val="0"/>
                <w:bCs w:val="0"/>
                <w:szCs w:val="24"/>
              </w:rPr>
            </w:pPr>
            <w:r>
              <w:rPr>
                <w:rFonts w:asciiTheme="minorHAnsi" w:hAnsiTheme="minorHAnsi"/>
                <w:b w:val="0"/>
                <w:bCs w:val="0"/>
                <w:szCs w:val="24"/>
              </w:rPr>
              <w:t xml:space="preserve">Impact </w:t>
            </w:r>
          </w:p>
          <w:p w14:paraId="56884CA1" w14:textId="5EC738A4" w:rsidR="00A8489A" w:rsidRPr="00A8489A" w:rsidRDefault="004E3237" w:rsidP="00A8489A">
            <w:pPr>
              <w:spacing w:line="240" w:lineRule="auto"/>
              <w:rPr>
                <w:rFonts w:asciiTheme="minorHAnsi" w:hAnsiTheme="minorHAnsi"/>
                <w:b w:val="0"/>
                <w:bCs w:val="0"/>
                <w:szCs w:val="24"/>
              </w:rPr>
            </w:pPr>
            <w:r>
              <w:rPr>
                <w:rFonts w:asciiTheme="minorHAnsi" w:hAnsiTheme="minorHAnsi"/>
                <w:b w:val="0"/>
                <w:bCs w:val="0"/>
                <w:szCs w:val="24"/>
              </w:rPr>
              <w:t xml:space="preserve">The proposed evaluation will help to address the current gaps in the evidence on the effectiveness </w:t>
            </w:r>
            <w:r w:rsidR="00E91A7C">
              <w:rPr>
                <w:rFonts w:asciiTheme="minorHAnsi" w:hAnsiTheme="minorHAnsi"/>
                <w:b w:val="0"/>
                <w:bCs w:val="0"/>
                <w:szCs w:val="24"/>
              </w:rPr>
              <w:t xml:space="preserve">of social prescribing interventions. </w:t>
            </w:r>
            <w:r w:rsidR="005D0E36">
              <w:rPr>
                <w:rFonts w:asciiTheme="minorHAnsi" w:hAnsiTheme="minorHAnsi"/>
                <w:b w:val="0"/>
                <w:bCs w:val="0"/>
                <w:szCs w:val="24"/>
              </w:rPr>
              <w:t>The findings will</w:t>
            </w:r>
            <w:r w:rsidR="00A0236D">
              <w:rPr>
                <w:rFonts w:asciiTheme="minorHAnsi" w:hAnsiTheme="minorHAnsi"/>
                <w:b w:val="0"/>
                <w:bCs w:val="0"/>
                <w:szCs w:val="24"/>
              </w:rPr>
              <w:t xml:space="preserve"> inform fu</w:t>
            </w:r>
            <w:r w:rsidR="005D0E36">
              <w:rPr>
                <w:rFonts w:asciiTheme="minorHAnsi" w:hAnsiTheme="minorHAnsi"/>
                <w:b w:val="0"/>
                <w:bCs w:val="0"/>
                <w:szCs w:val="24"/>
              </w:rPr>
              <w:t>ture</w:t>
            </w:r>
            <w:r w:rsidR="00A0236D">
              <w:rPr>
                <w:rFonts w:asciiTheme="minorHAnsi" w:hAnsiTheme="minorHAnsi"/>
                <w:b w:val="0"/>
                <w:bCs w:val="0"/>
                <w:szCs w:val="24"/>
              </w:rPr>
              <w:t xml:space="preserve"> commissioning decisions </w:t>
            </w:r>
            <w:r w:rsidR="005D0E36">
              <w:rPr>
                <w:rFonts w:asciiTheme="minorHAnsi" w:hAnsiTheme="minorHAnsi"/>
                <w:b w:val="0"/>
                <w:bCs w:val="0"/>
                <w:szCs w:val="24"/>
              </w:rPr>
              <w:t xml:space="preserve">and models </w:t>
            </w:r>
            <w:r w:rsidR="00A0236D">
              <w:rPr>
                <w:rFonts w:asciiTheme="minorHAnsi" w:hAnsiTheme="minorHAnsi"/>
                <w:b w:val="0"/>
                <w:bCs w:val="0"/>
                <w:szCs w:val="24"/>
              </w:rPr>
              <w:t>o</w:t>
            </w:r>
            <w:r w:rsidR="005D0E36">
              <w:rPr>
                <w:rFonts w:asciiTheme="minorHAnsi" w:hAnsiTheme="minorHAnsi"/>
                <w:b w:val="0"/>
                <w:bCs w:val="0"/>
                <w:szCs w:val="24"/>
              </w:rPr>
              <w:t>f</w:t>
            </w:r>
            <w:r w:rsidR="00A0236D">
              <w:rPr>
                <w:rFonts w:asciiTheme="minorHAnsi" w:hAnsiTheme="minorHAnsi"/>
                <w:b w:val="0"/>
                <w:bCs w:val="0"/>
                <w:szCs w:val="24"/>
              </w:rPr>
              <w:t xml:space="preserve"> social prescribing </w:t>
            </w:r>
            <w:r w:rsidR="005D0E36">
              <w:rPr>
                <w:rFonts w:asciiTheme="minorHAnsi" w:hAnsiTheme="minorHAnsi"/>
                <w:b w:val="0"/>
                <w:bCs w:val="0"/>
                <w:szCs w:val="24"/>
              </w:rPr>
              <w:t xml:space="preserve">not just at national level but also internationally. </w:t>
            </w:r>
            <w:r w:rsidR="00A5443C">
              <w:rPr>
                <w:rFonts w:asciiTheme="minorHAnsi" w:hAnsiTheme="minorHAnsi"/>
                <w:b w:val="0"/>
                <w:bCs w:val="0"/>
                <w:szCs w:val="24"/>
              </w:rPr>
              <w:t xml:space="preserve">A better understanding on </w:t>
            </w:r>
            <w:r w:rsidR="00A8489A" w:rsidRPr="00A8489A">
              <w:rPr>
                <w:rFonts w:asciiTheme="minorHAnsi" w:hAnsiTheme="minorHAnsi"/>
                <w:b w:val="0"/>
                <w:bCs w:val="0"/>
                <w:szCs w:val="24"/>
              </w:rPr>
              <w:t>when, by whom, for whom, how</w:t>
            </w:r>
          </w:p>
          <w:p w14:paraId="3CE8F8A0" w14:textId="17D354A9" w:rsidR="00FC4D3D" w:rsidRDefault="00A8489A" w:rsidP="00A8489A">
            <w:pPr>
              <w:spacing w:line="240" w:lineRule="auto"/>
              <w:rPr>
                <w:rFonts w:asciiTheme="minorHAnsi" w:hAnsiTheme="minorHAnsi"/>
                <w:b w:val="0"/>
                <w:bCs w:val="0"/>
                <w:szCs w:val="24"/>
              </w:rPr>
            </w:pPr>
            <w:r w:rsidRPr="00A8489A">
              <w:rPr>
                <w:rFonts w:asciiTheme="minorHAnsi" w:hAnsiTheme="minorHAnsi"/>
                <w:b w:val="0"/>
                <w:bCs w:val="0"/>
                <w:szCs w:val="24"/>
              </w:rPr>
              <w:t>well and at what cost</w:t>
            </w:r>
            <w:r>
              <w:rPr>
                <w:rFonts w:asciiTheme="minorHAnsi" w:hAnsiTheme="minorHAnsi"/>
                <w:b w:val="0"/>
                <w:bCs w:val="0"/>
                <w:szCs w:val="24"/>
              </w:rPr>
              <w:t xml:space="preserve"> social prescribing works, </w:t>
            </w:r>
            <w:r w:rsidR="007C5AB5">
              <w:rPr>
                <w:rFonts w:asciiTheme="minorHAnsi" w:hAnsiTheme="minorHAnsi"/>
                <w:b w:val="0"/>
                <w:bCs w:val="0"/>
                <w:szCs w:val="24"/>
              </w:rPr>
              <w:t xml:space="preserve">will enable the development </w:t>
            </w:r>
            <w:r w:rsidR="004D0838">
              <w:rPr>
                <w:rFonts w:asciiTheme="minorHAnsi" w:hAnsiTheme="minorHAnsi"/>
                <w:b w:val="0"/>
                <w:bCs w:val="0"/>
                <w:szCs w:val="24"/>
              </w:rPr>
              <w:t xml:space="preserve">and implementation </w:t>
            </w:r>
            <w:r w:rsidR="007C5AB5">
              <w:rPr>
                <w:rFonts w:asciiTheme="minorHAnsi" w:hAnsiTheme="minorHAnsi"/>
                <w:b w:val="0"/>
                <w:bCs w:val="0"/>
                <w:szCs w:val="24"/>
              </w:rPr>
              <w:t xml:space="preserve">of more cost-effective interventions for addressing health inequalities. </w:t>
            </w: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Formal training:</w:t>
            </w:r>
          </w:p>
          <w:p w14:paraId="24D2FEF1" w14:textId="0A7238A5" w:rsidR="002A20E2" w:rsidRPr="002A20E2" w:rsidRDefault="00BE335A" w:rsidP="002A20E2">
            <w:pPr>
              <w:pStyle w:val="BodyText2"/>
              <w:spacing w:after="120"/>
              <w:jc w:val="both"/>
              <w:rPr>
                <w:rFonts w:asciiTheme="minorHAnsi" w:hAnsiTheme="minorHAnsi" w:cs="Arial"/>
                <w:iCs/>
                <w:sz w:val="24"/>
                <w:szCs w:val="24"/>
              </w:rPr>
            </w:pPr>
            <w:r w:rsidRPr="00BE335A">
              <w:rPr>
                <w:rFonts w:asciiTheme="minorHAnsi" w:hAnsiTheme="minorHAnsi" w:cs="Arial"/>
                <w:iCs/>
                <w:sz w:val="24"/>
                <w:szCs w:val="24"/>
              </w:rPr>
              <w:t>PhD student</w:t>
            </w:r>
            <w:r>
              <w:rPr>
                <w:rFonts w:asciiTheme="minorHAnsi" w:hAnsiTheme="minorHAnsi" w:cs="Arial"/>
                <w:iCs/>
                <w:sz w:val="24"/>
                <w:szCs w:val="24"/>
              </w:rPr>
              <w:t>s</w:t>
            </w:r>
            <w:r w:rsidRPr="00BE335A">
              <w:rPr>
                <w:rFonts w:asciiTheme="minorHAnsi" w:hAnsiTheme="minorHAnsi" w:cs="Arial"/>
                <w:iCs/>
                <w:sz w:val="24"/>
                <w:szCs w:val="24"/>
              </w:rPr>
              <w:t xml:space="preserve"> at Queen Mary</w:t>
            </w:r>
            <w:r>
              <w:rPr>
                <w:rFonts w:asciiTheme="minorHAnsi" w:hAnsiTheme="minorHAnsi" w:cs="Arial"/>
                <w:iCs/>
                <w:sz w:val="24"/>
                <w:szCs w:val="24"/>
              </w:rPr>
              <w:t xml:space="preserve"> </w:t>
            </w:r>
            <w:r w:rsidRPr="00BE335A">
              <w:rPr>
                <w:rFonts w:asciiTheme="minorHAnsi" w:hAnsiTheme="minorHAnsi" w:cs="Arial"/>
                <w:iCs/>
                <w:sz w:val="24"/>
                <w:szCs w:val="24"/>
              </w:rPr>
              <w:t xml:space="preserve">benefit from a range of support that’s carefully matched to </w:t>
            </w:r>
            <w:r>
              <w:rPr>
                <w:rFonts w:asciiTheme="minorHAnsi" w:hAnsiTheme="minorHAnsi" w:cs="Arial"/>
                <w:iCs/>
                <w:sz w:val="24"/>
                <w:szCs w:val="24"/>
              </w:rPr>
              <w:t xml:space="preserve">their </w:t>
            </w:r>
            <w:r w:rsidRPr="00BE335A">
              <w:rPr>
                <w:rFonts w:asciiTheme="minorHAnsi" w:hAnsiTheme="minorHAnsi" w:cs="Arial"/>
                <w:iCs/>
                <w:sz w:val="24"/>
                <w:szCs w:val="24"/>
              </w:rPr>
              <w:t>objectives.</w:t>
            </w:r>
            <w:r w:rsidR="002A20E2">
              <w:t xml:space="preserve"> </w:t>
            </w:r>
            <w:r w:rsidR="002A20E2" w:rsidRPr="002A20E2">
              <w:rPr>
                <w:rFonts w:asciiTheme="minorHAnsi" w:hAnsiTheme="minorHAnsi" w:cstheme="minorHAnsi"/>
              </w:rPr>
              <w:t>A</w:t>
            </w:r>
            <w:r w:rsidR="002A20E2" w:rsidRPr="002A20E2">
              <w:rPr>
                <w:rFonts w:asciiTheme="minorHAnsi" w:hAnsiTheme="minorHAnsi" w:cs="Arial"/>
                <w:iCs/>
                <w:sz w:val="24"/>
                <w:szCs w:val="24"/>
              </w:rPr>
              <w:t xml:space="preserve"> range of training opportunities </w:t>
            </w:r>
            <w:r w:rsidR="002A20E2">
              <w:rPr>
                <w:rFonts w:asciiTheme="minorHAnsi" w:hAnsiTheme="minorHAnsi" w:cs="Arial"/>
                <w:iCs/>
                <w:sz w:val="24"/>
                <w:szCs w:val="24"/>
              </w:rPr>
              <w:t xml:space="preserve">are offered including:  </w:t>
            </w:r>
          </w:p>
          <w:p w14:paraId="45827F2A" w14:textId="77777777" w:rsidR="002A20E2" w:rsidRPr="002A20E2" w:rsidRDefault="002A20E2" w:rsidP="002A20E2">
            <w:pPr>
              <w:pStyle w:val="BodyText2"/>
              <w:numPr>
                <w:ilvl w:val="0"/>
                <w:numId w:val="3"/>
              </w:numPr>
              <w:spacing w:after="120"/>
              <w:jc w:val="both"/>
              <w:rPr>
                <w:rFonts w:asciiTheme="minorHAnsi" w:hAnsiTheme="minorHAnsi" w:cs="Arial"/>
                <w:iCs/>
                <w:sz w:val="24"/>
                <w:szCs w:val="24"/>
              </w:rPr>
            </w:pPr>
            <w:r>
              <w:rPr>
                <w:rFonts w:asciiTheme="minorHAnsi" w:hAnsiTheme="minorHAnsi" w:cs="Arial"/>
                <w:iCs/>
                <w:sz w:val="24"/>
                <w:szCs w:val="24"/>
              </w:rPr>
              <w:t xml:space="preserve">Wolfson </w:t>
            </w:r>
            <w:r w:rsidRPr="002A20E2">
              <w:rPr>
                <w:rFonts w:asciiTheme="minorHAnsi" w:hAnsiTheme="minorHAnsi" w:cs="Arial"/>
                <w:iCs/>
                <w:sz w:val="24"/>
                <w:szCs w:val="24"/>
              </w:rPr>
              <w:t xml:space="preserve">Institute </w:t>
            </w:r>
            <w:r>
              <w:rPr>
                <w:rFonts w:asciiTheme="minorHAnsi" w:hAnsiTheme="minorHAnsi" w:cs="Arial"/>
                <w:iCs/>
                <w:sz w:val="24"/>
                <w:szCs w:val="24"/>
              </w:rPr>
              <w:t xml:space="preserve">for Population Health </w:t>
            </w:r>
            <w:r w:rsidRPr="002A20E2">
              <w:rPr>
                <w:rFonts w:asciiTheme="minorHAnsi" w:hAnsiTheme="minorHAnsi" w:cs="Arial"/>
                <w:iCs/>
                <w:sz w:val="24"/>
                <w:szCs w:val="24"/>
              </w:rPr>
              <w:t>provides subject-specific training in the methods and techniques need</w:t>
            </w:r>
            <w:r>
              <w:rPr>
                <w:rFonts w:asciiTheme="minorHAnsi" w:hAnsiTheme="minorHAnsi" w:cs="Arial"/>
                <w:iCs/>
                <w:sz w:val="24"/>
                <w:szCs w:val="24"/>
              </w:rPr>
              <w:t>ed</w:t>
            </w:r>
            <w:r w:rsidRPr="002A20E2">
              <w:rPr>
                <w:rFonts w:asciiTheme="minorHAnsi" w:hAnsiTheme="minorHAnsi" w:cs="Arial"/>
                <w:iCs/>
                <w:sz w:val="24"/>
                <w:szCs w:val="24"/>
              </w:rPr>
              <w:t xml:space="preserve"> to conduct </w:t>
            </w:r>
            <w:r>
              <w:rPr>
                <w:rFonts w:asciiTheme="minorHAnsi" w:hAnsiTheme="minorHAnsi" w:cs="Arial"/>
                <w:iCs/>
                <w:sz w:val="24"/>
                <w:szCs w:val="24"/>
              </w:rPr>
              <w:t>the</w:t>
            </w:r>
            <w:r w:rsidRPr="002A20E2">
              <w:rPr>
                <w:rFonts w:asciiTheme="minorHAnsi" w:hAnsiTheme="minorHAnsi" w:cs="Arial"/>
                <w:iCs/>
                <w:sz w:val="24"/>
                <w:szCs w:val="24"/>
              </w:rPr>
              <w:t xml:space="preserve"> research.</w:t>
            </w:r>
          </w:p>
          <w:p w14:paraId="3E9464B6" w14:textId="77777777" w:rsidR="002A20E2" w:rsidRPr="002A20E2" w:rsidRDefault="002A20E2" w:rsidP="002A20E2">
            <w:pPr>
              <w:pStyle w:val="BodyText2"/>
              <w:numPr>
                <w:ilvl w:val="0"/>
                <w:numId w:val="3"/>
              </w:numPr>
              <w:spacing w:after="120"/>
              <w:jc w:val="both"/>
              <w:rPr>
                <w:rFonts w:asciiTheme="minorHAnsi" w:hAnsiTheme="minorHAnsi" w:cs="Arial"/>
                <w:iCs/>
                <w:sz w:val="24"/>
                <w:szCs w:val="24"/>
              </w:rPr>
            </w:pPr>
            <w:r w:rsidRPr="002A20E2">
              <w:rPr>
                <w:rFonts w:asciiTheme="minorHAnsi" w:hAnsiTheme="minorHAnsi" w:cs="Arial"/>
                <w:iCs/>
                <w:sz w:val="24"/>
                <w:szCs w:val="24"/>
              </w:rPr>
              <w:t xml:space="preserve">The Researcher Development Team within the Queen Mary Academy provide a skills development programme, covering topics such as getting started with </w:t>
            </w:r>
            <w:r>
              <w:rPr>
                <w:rFonts w:asciiTheme="minorHAnsi" w:hAnsiTheme="minorHAnsi" w:cs="Arial"/>
                <w:iCs/>
                <w:sz w:val="24"/>
                <w:szCs w:val="24"/>
              </w:rPr>
              <w:t>a</w:t>
            </w:r>
            <w:r w:rsidRPr="002A20E2">
              <w:rPr>
                <w:rFonts w:asciiTheme="minorHAnsi" w:hAnsiTheme="minorHAnsi" w:cs="Arial"/>
                <w:iCs/>
                <w:sz w:val="24"/>
                <w:szCs w:val="24"/>
              </w:rPr>
              <w:t xml:space="preserve"> PhD, working with </w:t>
            </w:r>
            <w:r>
              <w:rPr>
                <w:rFonts w:asciiTheme="minorHAnsi" w:hAnsiTheme="minorHAnsi" w:cs="Arial"/>
                <w:iCs/>
                <w:sz w:val="24"/>
                <w:szCs w:val="24"/>
              </w:rPr>
              <w:t xml:space="preserve">a </w:t>
            </w:r>
            <w:r w:rsidRPr="002A20E2">
              <w:rPr>
                <w:rFonts w:asciiTheme="minorHAnsi" w:hAnsiTheme="minorHAnsi" w:cs="Arial"/>
                <w:iCs/>
                <w:sz w:val="24"/>
                <w:szCs w:val="24"/>
              </w:rPr>
              <w:t>supervisor, as well as a range of support in writing, applying for funding, presentation skills and wellbeing. Doctoral students who complete this recommended amount of training are also awarded the Queen Mary Diploma in Researcher Development (</w:t>
            </w:r>
            <w:proofErr w:type="spellStart"/>
            <w:r w:rsidRPr="002A20E2">
              <w:rPr>
                <w:rFonts w:asciiTheme="minorHAnsi" w:hAnsiTheme="minorHAnsi" w:cs="Arial"/>
                <w:iCs/>
                <w:sz w:val="24"/>
                <w:szCs w:val="24"/>
              </w:rPr>
              <w:t>QDip</w:t>
            </w:r>
            <w:proofErr w:type="spellEnd"/>
            <w:r w:rsidRPr="002A20E2">
              <w:rPr>
                <w:rFonts w:asciiTheme="minorHAnsi" w:hAnsiTheme="minorHAnsi" w:cs="Arial"/>
                <w:iCs/>
                <w:sz w:val="24"/>
                <w:szCs w:val="24"/>
              </w:rPr>
              <w:t>) alongside their PhD.</w:t>
            </w:r>
          </w:p>
          <w:p w14:paraId="53BA62DB" w14:textId="77777777" w:rsidR="002A20E2" w:rsidRPr="002A20E2" w:rsidRDefault="002A20E2" w:rsidP="002A20E2">
            <w:pPr>
              <w:pStyle w:val="BodyText2"/>
              <w:numPr>
                <w:ilvl w:val="0"/>
                <w:numId w:val="3"/>
              </w:numPr>
              <w:spacing w:after="120"/>
              <w:jc w:val="both"/>
              <w:rPr>
                <w:rFonts w:asciiTheme="minorHAnsi" w:hAnsiTheme="minorHAnsi" w:cs="Arial"/>
                <w:iCs/>
                <w:sz w:val="24"/>
                <w:szCs w:val="24"/>
              </w:rPr>
            </w:pPr>
            <w:r w:rsidRPr="002A20E2">
              <w:rPr>
                <w:rFonts w:asciiTheme="minorHAnsi" w:hAnsiTheme="minorHAnsi" w:cs="Arial"/>
                <w:iCs/>
                <w:sz w:val="24"/>
                <w:szCs w:val="24"/>
              </w:rPr>
              <w:t>Queen Mary’s Doctoral College presents a lively interdisciplinary programme of events and activities to develop networks within our thriving postgraduate community. The team also promotes a supportive PhD culture with events such as training days organised around academic networking, public engagement, and employment for Year 1, 2 and 3 students.</w:t>
            </w:r>
          </w:p>
          <w:p w14:paraId="77304B74" w14:textId="1D04944F" w:rsidR="002C38EA" w:rsidRPr="002A20E2" w:rsidRDefault="002A20E2" w:rsidP="002A20E2">
            <w:pPr>
              <w:pStyle w:val="BodyText2"/>
              <w:numPr>
                <w:ilvl w:val="0"/>
                <w:numId w:val="3"/>
              </w:numPr>
              <w:spacing w:after="120"/>
              <w:jc w:val="both"/>
              <w:rPr>
                <w:rFonts w:asciiTheme="minorHAnsi" w:hAnsiTheme="minorHAnsi" w:cs="Arial"/>
                <w:iCs/>
                <w:sz w:val="24"/>
                <w:szCs w:val="24"/>
              </w:rPr>
            </w:pPr>
            <w:r w:rsidRPr="002A20E2">
              <w:rPr>
                <w:rFonts w:asciiTheme="minorHAnsi" w:hAnsiTheme="minorHAnsi" w:cs="Arial"/>
                <w:iCs/>
                <w:sz w:val="24"/>
                <w:szCs w:val="24"/>
              </w:rPr>
              <w:t>Research Council Doctoral Training Centres and Doctoral Training Partnerships provide specialist and highly advanced research training courses, many of which are run in conjunction with our partner universities.</w:t>
            </w: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 xml:space="preserve">Informal training: </w:t>
            </w:r>
          </w:p>
          <w:p w14:paraId="54B3D680" w14:textId="2C9D8074" w:rsidR="002C791D" w:rsidRPr="00724FAC" w:rsidRDefault="000A3228" w:rsidP="00DE74E1">
            <w:pPr>
              <w:pStyle w:val="BodyText2"/>
              <w:tabs>
                <w:tab w:val="clear" w:pos="720"/>
              </w:tabs>
              <w:spacing w:after="120"/>
              <w:jc w:val="both"/>
              <w:rPr>
                <w:rFonts w:asciiTheme="minorHAnsi" w:hAnsiTheme="minorHAnsi" w:cs="Arial"/>
                <w:iCs/>
                <w:sz w:val="24"/>
                <w:szCs w:val="24"/>
              </w:rPr>
            </w:pPr>
            <w:r w:rsidRPr="000A3228">
              <w:rPr>
                <w:rFonts w:asciiTheme="minorHAnsi" w:hAnsiTheme="minorHAnsi" w:cs="Arial"/>
                <w:iCs/>
                <w:sz w:val="24"/>
                <w:szCs w:val="24"/>
              </w:rPr>
              <w:t>The Wolfson Institute of Population Health</w:t>
            </w:r>
            <w:r w:rsidR="001D46B8">
              <w:rPr>
                <w:rFonts w:asciiTheme="minorHAnsi" w:hAnsiTheme="minorHAnsi" w:cs="Arial"/>
                <w:iCs/>
                <w:sz w:val="24"/>
                <w:szCs w:val="24"/>
              </w:rPr>
              <w:t xml:space="preserve"> (WIPH)</w:t>
            </w:r>
            <w:r w:rsidRPr="000A3228">
              <w:rPr>
                <w:rFonts w:asciiTheme="minorHAnsi" w:hAnsiTheme="minorHAnsi" w:cs="Arial"/>
                <w:iCs/>
                <w:sz w:val="24"/>
                <w:szCs w:val="24"/>
              </w:rPr>
              <w:t>, one of the six QMUL Institutes, is a world-class grouping of scientists and educators in applied health sciences, including public and global health, health services and primary care research, clinical trials, health policy and economics, health data science, behavioural and social sciences, epidemiology, biostatistics, translational and implementation science.</w:t>
            </w:r>
            <w:r>
              <w:rPr>
                <w:rFonts w:asciiTheme="minorHAnsi" w:hAnsiTheme="minorHAnsi" w:cs="Arial"/>
                <w:iCs/>
                <w:sz w:val="24"/>
                <w:szCs w:val="24"/>
              </w:rPr>
              <w:t xml:space="preserve"> The PhD </w:t>
            </w:r>
            <w:r w:rsidR="00315003">
              <w:rPr>
                <w:rFonts w:asciiTheme="minorHAnsi" w:hAnsiTheme="minorHAnsi" w:cs="Arial"/>
                <w:iCs/>
                <w:sz w:val="24"/>
                <w:szCs w:val="24"/>
              </w:rPr>
              <w:t xml:space="preserve">fellow will have access to this expertise and an opportunity to </w:t>
            </w:r>
            <w:r w:rsidR="002830B4">
              <w:rPr>
                <w:rFonts w:asciiTheme="minorHAnsi" w:hAnsiTheme="minorHAnsi" w:cs="Arial"/>
                <w:iCs/>
                <w:sz w:val="24"/>
                <w:szCs w:val="24"/>
              </w:rPr>
              <w:t xml:space="preserve">learn by participating to internal </w:t>
            </w:r>
            <w:r w:rsidR="00DE74E1">
              <w:rPr>
                <w:rFonts w:asciiTheme="minorHAnsi" w:hAnsiTheme="minorHAnsi" w:cs="Arial"/>
                <w:iCs/>
                <w:sz w:val="24"/>
                <w:szCs w:val="24"/>
              </w:rPr>
              <w:t xml:space="preserve">learning events and </w:t>
            </w:r>
            <w:r w:rsidR="002830B4">
              <w:rPr>
                <w:rFonts w:asciiTheme="minorHAnsi" w:hAnsiTheme="minorHAnsi" w:cs="Arial"/>
                <w:iCs/>
                <w:sz w:val="24"/>
                <w:szCs w:val="24"/>
              </w:rPr>
              <w:lastRenderedPageBreak/>
              <w:t xml:space="preserve">meetings. </w:t>
            </w:r>
            <w:r w:rsidR="00DE74E1">
              <w:rPr>
                <w:rFonts w:asciiTheme="minorHAnsi" w:hAnsiTheme="minorHAnsi" w:cs="Arial"/>
                <w:iCs/>
                <w:sz w:val="24"/>
                <w:szCs w:val="24"/>
              </w:rPr>
              <w:t xml:space="preserve">They will </w:t>
            </w:r>
            <w:r w:rsidR="00A44BEB" w:rsidRPr="00A44BEB">
              <w:rPr>
                <w:rFonts w:asciiTheme="minorHAnsi" w:hAnsiTheme="minorHAnsi" w:cs="Arial"/>
                <w:iCs/>
                <w:sz w:val="24"/>
                <w:szCs w:val="24"/>
              </w:rPr>
              <w:t xml:space="preserve">be part of a thriving research community which actively supports collaborations with other academic, NHS and industry partners and contributes to the translation of ideas into care models and clinical practice from which patients can benefit. </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lastRenderedPageBreak/>
              <w:t xml:space="preserve">PPIE: </w:t>
            </w:r>
          </w:p>
          <w:p w14:paraId="7300A167" w14:textId="77777777" w:rsidR="003068EF" w:rsidRPr="003068EF" w:rsidRDefault="003068EF" w:rsidP="003068EF">
            <w:pPr>
              <w:pStyle w:val="BodyText2"/>
              <w:spacing w:after="120"/>
              <w:jc w:val="both"/>
              <w:rPr>
                <w:rFonts w:asciiTheme="minorHAnsi" w:hAnsiTheme="minorHAnsi" w:cs="Arial"/>
                <w:iCs/>
                <w:sz w:val="24"/>
                <w:szCs w:val="24"/>
              </w:rPr>
            </w:pPr>
            <w:r w:rsidRPr="003068EF">
              <w:rPr>
                <w:rFonts w:asciiTheme="minorHAnsi" w:hAnsiTheme="minorHAnsi" w:cs="Arial"/>
                <w:iCs/>
                <w:sz w:val="24"/>
                <w:szCs w:val="24"/>
              </w:rPr>
              <w:t xml:space="preserve">The Public Advisory Panel (PAP) theme supports high quality Patient and Public Involvement and Engagement (PPIE) across all WIPH research and education activity. The theme also supports and sustains substantial local impact via a panel of </w:t>
            </w:r>
            <w:proofErr w:type="gramStart"/>
            <w:r w:rsidRPr="003068EF">
              <w:rPr>
                <w:rFonts w:asciiTheme="minorHAnsi" w:hAnsiTheme="minorHAnsi" w:cs="Arial"/>
                <w:iCs/>
                <w:sz w:val="24"/>
                <w:szCs w:val="24"/>
              </w:rPr>
              <w:t>local residents</w:t>
            </w:r>
            <w:proofErr w:type="gramEnd"/>
            <w:r w:rsidRPr="003068EF">
              <w:rPr>
                <w:rFonts w:asciiTheme="minorHAnsi" w:hAnsiTheme="minorHAnsi" w:cs="Arial"/>
                <w:iCs/>
                <w:sz w:val="24"/>
                <w:szCs w:val="24"/>
              </w:rPr>
              <w:t xml:space="preserve"> and professionals who provide input to our education and research activity, and also shape it, based on local knowledge and needs.  </w:t>
            </w:r>
          </w:p>
          <w:p w14:paraId="37505108" w14:textId="7A3CD0BE" w:rsidR="002A20E2" w:rsidRPr="00724FAC" w:rsidRDefault="003068EF" w:rsidP="003068EF">
            <w:pPr>
              <w:pStyle w:val="BodyText2"/>
              <w:tabs>
                <w:tab w:val="clear" w:pos="720"/>
              </w:tabs>
              <w:spacing w:after="120"/>
              <w:jc w:val="both"/>
              <w:rPr>
                <w:rFonts w:asciiTheme="minorHAnsi" w:hAnsiTheme="minorHAnsi" w:cs="Arial"/>
                <w:iCs/>
                <w:sz w:val="24"/>
                <w:szCs w:val="24"/>
              </w:rPr>
            </w:pPr>
            <w:r w:rsidRPr="003068EF">
              <w:rPr>
                <w:rFonts w:asciiTheme="minorHAnsi" w:hAnsiTheme="minorHAnsi" w:cs="Arial"/>
                <w:iCs/>
                <w:sz w:val="24"/>
                <w:szCs w:val="24"/>
              </w:rPr>
              <w:t>We are working in partnership with the Centre for Public Engagement (CPE) and the QMUL Civic University Agreement. Recent research has generated substantial findings on the health and wellbeing of our local community, including the challenges they face and the kinds of solutions and actions they would like realised by work with QMUL.</w:t>
            </w: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C18A" w14:textId="77777777" w:rsidR="00E23E67" w:rsidRDefault="00E23E67" w:rsidP="004A221B">
      <w:pPr>
        <w:spacing w:after="0" w:line="240" w:lineRule="auto"/>
      </w:pPr>
      <w:r>
        <w:separator/>
      </w:r>
    </w:p>
  </w:endnote>
  <w:endnote w:type="continuationSeparator" w:id="0">
    <w:p w14:paraId="3E0D5ADC" w14:textId="77777777" w:rsidR="00E23E67" w:rsidRDefault="00E23E67" w:rsidP="004A221B">
      <w:pPr>
        <w:spacing w:after="0" w:line="240" w:lineRule="auto"/>
      </w:pPr>
      <w:r>
        <w:continuationSeparator/>
      </w:r>
    </w:p>
  </w:endnote>
  <w:endnote w:id="1">
    <w:p w14:paraId="4503F695" w14:textId="4889162D" w:rsidR="004A221B" w:rsidRPr="004A221B" w:rsidRDefault="004A221B">
      <w:pPr>
        <w:pStyle w:val="EndnoteText"/>
        <w:rPr>
          <w:lang w:val="en-US"/>
        </w:rPr>
      </w:pPr>
      <w:r>
        <w:rPr>
          <w:rStyle w:val="EndnoteReference"/>
        </w:rPr>
        <w:endnoteRef/>
      </w:r>
      <w:r>
        <w:t xml:space="preserve"> </w:t>
      </w:r>
      <w:r w:rsidRPr="004A221B">
        <w:t>https://www.england.nhs.uk/personalisedcare/social-prescribing/</w:t>
      </w:r>
    </w:p>
  </w:endnote>
  <w:endnote w:id="2">
    <w:p w14:paraId="0EF68E39" w14:textId="6EC2A40A" w:rsidR="001D594D" w:rsidRPr="001D594D" w:rsidRDefault="001D594D">
      <w:pPr>
        <w:pStyle w:val="EndnoteText"/>
        <w:rPr>
          <w:lang w:val="en-US"/>
        </w:rPr>
      </w:pPr>
      <w:r>
        <w:rPr>
          <w:rStyle w:val="EndnoteReference"/>
        </w:rPr>
        <w:endnoteRef/>
      </w:r>
      <w:r>
        <w:t xml:space="preserve"> </w:t>
      </w:r>
      <w:r w:rsidRPr="001D594D">
        <w:t>https://www.england.nhs.uk/primary-care/primary-care-networks/network-contract-des/</w:t>
      </w:r>
    </w:p>
  </w:endnote>
  <w:endnote w:id="3">
    <w:p w14:paraId="0EAA24D3" w14:textId="3D71212F" w:rsidR="00193962" w:rsidRPr="00193962" w:rsidRDefault="00193962">
      <w:pPr>
        <w:pStyle w:val="EndnoteText"/>
        <w:rPr>
          <w:lang w:val="en-US"/>
        </w:rPr>
      </w:pPr>
      <w:r>
        <w:rPr>
          <w:rStyle w:val="EndnoteReference"/>
        </w:rPr>
        <w:endnoteRef/>
      </w:r>
      <w:r>
        <w:t xml:space="preserve"> </w:t>
      </w:r>
      <w:hyperlink r:id="rId1" w:history="1">
        <w:r w:rsidRPr="0016154E">
          <w:rPr>
            <w:rStyle w:val="Hyperlink"/>
          </w:rPr>
          <w:t>https://bmjopen.bmj.com/content/bmjopen/7/4/e013384.full.pdf</w:t>
        </w:r>
      </w:hyperlink>
      <w:r>
        <w:t xml:space="preserve"> </w:t>
      </w:r>
    </w:p>
  </w:endnote>
  <w:endnote w:id="4">
    <w:p w14:paraId="3C2CD3D2" w14:textId="5AC1BD8D" w:rsidR="004E7EC6" w:rsidRPr="004E7EC6" w:rsidRDefault="004E7EC6">
      <w:pPr>
        <w:pStyle w:val="EndnoteText"/>
        <w:rPr>
          <w:lang w:val="en-US"/>
        </w:rPr>
      </w:pPr>
      <w:r>
        <w:rPr>
          <w:rStyle w:val="EndnoteReference"/>
        </w:rPr>
        <w:endnoteRef/>
      </w:r>
      <w:r>
        <w:t xml:space="preserve"> </w:t>
      </w:r>
      <w:r w:rsidRPr="004E7EC6">
        <w:t>https://pubmed.ncbi.nlm.nih.gov/35383075/</w:t>
      </w:r>
    </w:p>
  </w:endnote>
  <w:endnote w:id="5">
    <w:p w14:paraId="261FB9A0" w14:textId="527C8CB5" w:rsidR="003F4473" w:rsidRPr="003F4473" w:rsidRDefault="003F4473">
      <w:pPr>
        <w:pStyle w:val="EndnoteText"/>
        <w:rPr>
          <w:lang w:val="en-US"/>
        </w:rPr>
      </w:pPr>
      <w:r>
        <w:rPr>
          <w:rStyle w:val="EndnoteReference"/>
        </w:rPr>
        <w:endnoteRef/>
      </w:r>
      <w:r w:rsidR="00C22FE5">
        <w:t xml:space="preserve"> </w:t>
      </w:r>
      <w:hyperlink r:id="rId2" w:history="1">
        <w:r w:rsidR="00C22FE5" w:rsidRPr="00C22FE5">
          <w:rPr>
            <w:rStyle w:val="Hyperlink"/>
          </w:rPr>
          <w:t>a_guide_to_selecting_outcomes_measures_in_social_prescribing_final.pdf (london.gov.uk)</w:t>
        </w:r>
      </w:hyperlink>
      <w:r w:rsidR="00C22FE5" w:rsidRPr="00C22FE5">
        <w:t xml:space="preserve"> </w:t>
      </w:r>
    </w:p>
  </w:endnote>
  <w:endnote w:id="6">
    <w:p w14:paraId="12D3D535" w14:textId="4C43A03F" w:rsidR="00ED1398" w:rsidRPr="00ED1398" w:rsidRDefault="00ED1398">
      <w:pPr>
        <w:pStyle w:val="EndnoteText"/>
        <w:rPr>
          <w:lang w:val="en-US"/>
        </w:rPr>
      </w:pPr>
      <w:r>
        <w:rPr>
          <w:rStyle w:val="EndnoteReference"/>
        </w:rPr>
        <w:endnoteRef/>
      </w:r>
      <w:r w:rsidR="00F269C4">
        <w:rPr>
          <w:lang w:val="en-US"/>
        </w:rPr>
        <w:t xml:space="preserve"> </w:t>
      </w:r>
      <w:r w:rsidR="00F269C4" w:rsidRPr="00F269C4">
        <w:rPr>
          <w:lang w:val="en-US"/>
        </w:rPr>
        <w:t>https://whatworkswellbeing.org/blog/ons4-evaluations-what-works-to-improve-personal-wellbeing/</w:t>
      </w:r>
    </w:p>
  </w:endnote>
  <w:endnote w:id="7">
    <w:p w14:paraId="208D6F86" w14:textId="71D8EF52" w:rsidR="003C1A38" w:rsidRPr="003C1A38" w:rsidRDefault="003C1A38">
      <w:pPr>
        <w:pStyle w:val="EndnoteText"/>
        <w:rPr>
          <w:lang w:val="en-US"/>
        </w:rPr>
      </w:pPr>
      <w:r>
        <w:rPr>
          <w:rStyle w:val="EndnoteReference"/>
        </w:rPr>
        <w:endnoteRef/>
      </w:r>
      <w:r>
        <w:t xml:space="preserve"> </w:t>
      </w:r>
      <w:hyperlink r:id="rId3" w:history="1">
        <w:r>
          <w:rPr>
            <w:rStyle w:val="Hyperlink"/>
          </w:rPr>
          <w:t>Discovery East London - Case study | North East London Health &amp; Care Partnership (northeastlondonhcp.nhs.uk)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DDF4" w14:textId="77777777" w:rsidR="00E23E67" w:rsidRDefault="00E23E67" w:rsidP="004A221B">
      <w:pPr>
        <w:spacing w:after="0" w:line="240" w:lineRule="auto"/>
      </w:pPr>
      <w:r>
        <w:separator/>
      </w:r>
    </w:p>
  </w:footnote>
  <w:footnote w:type="continuationSeparator" w:id="0">
    <w:p w14:paraId="1A1A53C6" w14:textId="77777777" w:rsidR="00E23E67" w:rsidRDefault="00E23E67" w:rsidP="004A2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4363"/>
    <w:multiLevelType w:val="hybridMultilevel"/>
    <w:tmpl w:val="0526D2C4"/>
    <w:lvl w:ilvl="0" w:tplc="9E64CA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160A1D"/>
    <w:multiLevelType w:val="hybridMultilevel"/>
    <w:tmpl w:val="06BE1BB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67E46168"/>
    <w:multiLevelType w:val="hybridMultilevel"/>
    <w:tmpl w:val="1D22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26BA9"/>
    <w:rsid w:val="00075A27"/>
    <w:rsid w:val="00093E9E"/>
    <w:rsid w:val="00097D1F"/>
    <w:rsid w:val="000A3228"/>
    <w:rsid w:val="000C5C12"/>
    <w:rsid w:val="00113889"/>
    <w:rsid w:val="001255C5"/>
    <w:rsid w:val="0016177A"/>
    <w:rsid w:val="0018282F"/>
    <w:rsid w:val="00193962"/>
    <w:rsid w:val="00193CEA"/>
    <w:rsid w:val="001D085A"/>
    <w:rsid w:val="001D46B8"/>
    <w:rsid w:val="001D594D"/>
    <w:rsid w:val="00211603"/>
    <w:rsid w:val="00236D9F"/>
    <w:rsid w:val="0026455F"/>
    <w:rsid w:val="002830B4"/>
    <w:rsid w:val="00293F69"/>
    <w:rsid w:val="00295C59"/>
    <w:rsid w:val="002961EA"/>
    <w:rsid w:val="002A20E2"/>
    <w:rsid w:val="002C38EA"/>
    <w:rsid w:val="002C791D"/>
    <w:rsid w:val="002D3E40"/>
    <w:rsid w:val="002D4D45"/>
    <w:rsid w:val="002D4E37"/>
    <w:rsid w:val="002E141B"/>
    <w:rsid w:val="003068EF"/>
    <w:rsid w:val="00315003"/>
    <w:rsid w:val="00345892"/>
    <w:rsid w:val="003C1A38"/>
    <w:rsid w:val="003C362D"/>
    <w:rsid w:val="003C4B29"/>
    <w:rsid w:val="003D0C1B"/>
    <w:rsid w:val="003F4473"/>
    <w:rsid w:val="003F606A"/>
    <w:rsid w:val="004279A4"/>
    <w:rsid w:val="00473A68"/>
    <w:rsid w:val="00491940"/>
    <w:rsid w:val="004A221B"/>
    <w:rsid w:val="004C63B6"/>
    <w:rsid w:val="004C6FFF"/>
    <w:rsid w:val="004D0838"/>
    <w:rsid w:val="004E3237"/>
    <w:rsid w:val="004E7EC6"/>
    <w:rsid w:val="004F6453"/>
    <w:rsid w:val="004F7FE3"/>
    <w:rsid w:val="00523639"/>
    <w:rsid w:val="0059538D"/>
    <w:rsid w:val="005A06A4"/>
    <w:rsid w:val="005B1B87"/>
    <w:rsid w:val="005B586C"/>
    <w:rsid w:val="005C763B"/>
    <w:rsid w:val="005D0E36"/>
    <w:rsid w:val="005E01AE"/>
    <w:rsid w:val="005E6254"/>
    <w:rsid w:val="005F7539"/>
    <w:rsid w:val="00602B20"/>
    <w:rsid w:val="00696205"/>
    <w:rsid w:val="006D7C74"/>
    <w:rsid w:val="00724FAC"/>
    <w:rsid w:val="00732A8E"/>
    <w:rsid w:val="00754E47"/>
    <w:rsid w:val="007843FD"/>
    <w:rsid w:val="007B3D00"/>
    <w:rsid w:val="007C1423"/>
    <w:rsid w:val="007C5AB5"/>
    <w:rsid w:val="007F3BA1"/>
    <w:rsid w:val="0083603A"/>
    <w:rsid w:val="0087759A"/>
    <w:rsid w:val="008C2F4B"/>
    <w:rsid w:val="009059EE"/>
    <w:rsid w:val="009817D2"/>
    <w:rsid w:val="00996E08"/>
    <w:rsid w:val="009A702C"/>
    <w:rsid w:val="009B1F28"/>
    <w:rsid w:val="009B55C2"/>
    <w:rsid w:val="00A0236D"/>
    <w:rsid w:val="00A11C4B"/>
    <w:rsid w:val="00A3380B"/>
    <w:rsid w:val="00A37DAB"/>
    <w:rsid w:val="00A42219"/>
    <w:rsid w:val="00A43428"/>
    <w:rsid w:val="00A44BEB"/>
    <w:rsid w:val="00A5443C"/>
    <w:rsid w:val="00A63381"/>
    <w:rsid w:val="00A64681"/>
    <w:rsid w:val="00A75EBB"/>
    <w:rsid w:val="00A8489A"/>
    <w:rsid w:val="00AD14C0"/>
    <w:rsid w:val="00AD2147"/>
    <w:rsid w:val="00AD3E05"/>
    <w:rsid w:val="00AE1C3A"/>
    <w:rsid w:val="00B03C7A"/>
    <w:rsid w:val="00B33122"/>
    <w:rsid w:val="00B50C8F"/>
    <w:rsid w:val="00B542A4"/>
    <w:rsid w:val="00B57475"/>
    <w:rsid w:val="00BA063D"/>
    <w:rsid w:val="00BE335A"/>
    <w:rsid w:val="00C22875"/>
    <w:rsid w:val="00C22FE5"/>
    <w:rsid w:val="00C63ADB"/>
    <w:rsid w:val="00C65578"/>
    <w:rsid w:val="00C736EB"/>
    <w:rsid w:val="00CF0201"/>
    <w:rsid w:val="00CF23F4"/>
    <w:rsid w:val="00CF3DC1"/>
    <w:rsid w:val="00DE74E1"/>
    <w:rsid w:val="00E006F0"/>
    <w:rsid w:val="00E14890"/>
    <w:rsid w:val="00E23E67"/>
    <w:rsid w:val="00E45A54"/>
    <w:rsid w:val="00E85A62"/>
    <w:rsid w:val="00E91A7C"/>
    <w:rsid w:val="00E960B3"/>
    <w:rsid w:val="00EC2D81"/>
    <w:rsid w:val="00ED1398"/>
    <w:rsid w:val="00EE5E1D"/>
    <w:rsid w:val="00F02D00"/>
    <w:rsid w:val="00F22110"/>
    <w:rsid w:val="00F269C4"/>
    <w:rsid w:val="00F41959"/>
    <w:rsid w:val="00F7036E"/>
    <w:rsid w:val="00F87311"/>
    <w:rsid w:val="00FC4D3D"/>
    <w:rsid w:val="00FE433B"/>
    <w:rsid w:val="00FF5B14"/>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styleId="EndnoteText">
    <w:name w:val="endnote text"/>
    <w:basedOn w:val="Normal"/>
    <w:link w:val="EndnoteTextChar"/>
    <w:uiPriority w:val="99"/>
    <w:semiHidden/>
    <w:unhideWhenUsed/>
    <w:rsid w:val="004A221B"/>
    <w:pPr>
      <w:spacing w:after="0" w:line="240" w:lineRule="auto"/>
    </w:pPr>
    <w:rPr>
      <w:sz w:val="20"/>
    </w:rPr>
  </w:style>
  <w:style w:type="character" w:customStyle="1" w:styleId="EndnoteTextChar">
    <w:name w:val="Endnote Text Char"/>
    <w:basedOn w:val="DefaultParagraphFont"/>
    <w:link w:val="EndnoteText"/>
    <w:uiPriority w:val="99"/>
    <w:semiHidden/>
    <w:rsid w:val="004A221B"/>
    <w:rPr>
      <w:rFonts w:ascii="Corbel" w:hAnsi="Corbel" w:cs="Arial"/>
      <w:sz w:val="20"/>
      <w:szCs w:val="20"/>
    </w:rPr>
  </w:style>
  <w:style w:type="character" w:styleId="EndnoteReference">
    <w:name w:val="endnote reference"/>
    <w:basedOn w:val="DefaultParagraphFont"/>
    <w:uiPriority w:val="99"/>
    <w:semiHidden/>
    <w:unhideWhenUsed/>
    <w:rsid w:val="004A221B"/>
    <w:rPr>
      <w:vertAlign w:val="superscript"/>
    </w:rPr>
  </w:style>
  <w:style w:type="character" w:styleId="Hyperlink">
    <w:name w:val="Hyperlink"/>
    <w:basedOn w:val="DefaultParagraphFont"/>
    <w:uiPriority w:val="99"/>
    <w:unhideWhenUsed/>
    <w:rsid w:val="00193962"/>
    <w:rPr>
      <w:color w:val="0563C1" w:themeColor="hyperlink"/>
      <w:u w:val="single"/>
    </w:rPr>
  </w:style>
  <w:style w:type="character" w:styleId="UnresolvedMention">
    <w:name w:val="Unresolved Mention"/>
    <w:basedOn w:val="DefaultParagraphFont"/>
    <w:uiPriority w:val="99"/>
    <w:semiHidden/>
    <w:unhideWhenUsed/>
    <w:rsid w:val="0019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www.northeastlondonhcp.nhs.uk/ourplans/discovery-east-london-case-study.htm" TargetMode="External"/><Relationship Id="rId2" Type="http://schemas.openxmlformats.org/officeDocument/2006/relationships/hyperlink" Target="https://www.london.gov.uk/sites/default/files/a_guide_to_selecting_outcomes_measures_in_social_prescribing_final.pdf" TargetMode="External"/><Relationship Id="rId1" Type="http://schemas.openxmlformats.org/officeDocument/2006/relationships/hyperlink" Target="https://bmjopen.bmj.com/content/bmjopen/7/4/e013384.ful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076C38"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076C38"/>
    <w:rsid w:val="00183F66"/>
    <w:rsid w:val="002B666C"/>
    <w:rsid w:val="00E1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36DF-8A3E-49D6-81B6-4CFBD6C9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8475</Characters>
  <Application>Microsoft Office Word</Application>
  <DocSecurity>4</DocSecurity>
  <Lines>70</Lines>
  <Paragraphs>19</Paragraphs>
  <ScaleCrop>false</ScaleCrop>
  <Company>Queen Mary, University of London</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2022-09-20T08:19:00Z</dcterms:created>
  <dcterms:modified xsi:type="dcterms:W3CDTF">2022-09-20T08:19:00Z</dcterms:modified>
</cp:coreProperties>
</file>