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37BB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BB8FEE2" w:rsidR="00FF6AEA" w:rsidRPr="004E3BC1" w:rsidRDefault="00FF6AEA" w:rsidP="3515ECDC">
            <w:pPr>
              <w:rPr>
                <w:rFonts w:asciiTheme="minorHAnsi" w:hAnsiTheme="minorHAnsi"/>
                <w:color w:val="2E74B5" w:themeColor="accent1" w:themeShade="BF"/>
                <w:sz w:val="28"/>
                <w:szCs w:val="28"/>
              </w:rPr>
            </w:pPr>
            <w:r w:rsidRPr="3515ECDC">
              <w:rPr>
                <w:rFonts w:asciiTheme="minorHAnsi" w:hAnsiTheme="minorHAnsi"/>
                <w:color w:val="2E74B5" w:themeColor="accent1" w:themeShade="BF"/>
                <w:sz w:val="28"/>
                <w:szCs w:val="28"/>
              </w:rPr>
              <w:t>Host department:</w:t>
            </w:r>
            <w:r w:rsidR="71457ADA" w:rsidRPr="3515ECDC">
              <w:rPr>
                <w:rFonts w:asciiTheme="minorHAnsi" w:hAnsiTheme="minorHAnsi"/>
                <w:color w:val="2E74B5" w:themeColor="accent1" w:themeShade="BF"/>
                <w:sz w:val="28"/>
                <w:szCs w:val="28"/>
              </w:rPr>
              <w:t xml:space="preserve"> UCL</w:t>
            </w:r>
            <w:sdt>
              <w:sdtPr>
                <w:rPr>
                  <w:rFonts w:asciiTheme="minorHAnsi" w:hAnsiTheme="minorHAnsi"/>
                  <w:color w:val="2E74B5" w:themeColor="accent1" w:themeShade="BF"/>
                  <w:sz w:val="28"/>
                  <w:szCs w:val="28"/>
                </w:r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2F31FE" w:rsidRPr="00786A14">
                  <w:rPr>
                    <w:rStyle w:val="PlaceholderText"/>
                  </w:rPr>
                  <w:t>Choose an item.</w:t>
                </w:r>
              </w:sdtContent>
            </w:sdt>
          </w:p>
        </w:tc>
      </w:tr>
      <w:tr w:rsidR="008A5DEB" w:rsidRPr="00323521" w14:paraId="2A8FCC68"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173F29A" w14:textId="2DA27126" w:rsidR="00274ACB" w:rsidRPr="00323521" w:rsidRDefault="00C15373" w:rsidP="000C3C03">
            <w:pPr>
              <w:spacing w:after="120"/>
              <w:rPr>
                <w:rFonts w:asciiTheme="minorHAnsi" w:hAnsiTheme="minorHAnsi"/>
                <w:szCs w:val="24"/>
              </w:rPr>
            </w:pPr>
            <w:r>
              <w:rPr>
                <w:rFonts w:asciiTheme="minorHAnsi" w:hAnsiTheme="minorHAnsi"/>
                <w:sz w:val="28"/>
                <w:szCs w:val="24"/>
              </w:rPr>
              <w:t>Fluoroquinolone antibiotic treatment</w:t>
            </w:r>
            <w:r w:rsidR="003870CC">
              <w:rPr>
                <w:rFonts w:asciiTheme="minorHAnsi" w:hAnsiTheme="minorHAnsi"/>
                <w:sz w:val="28"/>
                <w:szCs w:val="24"/>
              </w:rPr>
              <w:t xml:space="preserve"> and adverse neuropsychiatric health outcomes</w:t>
            </w:r>
            <w:r>
              <w:rPr>
                <w:rFonts w:asciiTheme="minorHAnsi" w:hAnsiTheme="minorHAnsi"/>
                <w:sz w:val="28"/>
                <w:szCs w:val="24"/>
              </w:rPr>
              <w:t xml:space="preserve"> in young people</w:t>
            </w:r>
          </w:p>
        </w:tc>
      </w:tr>
      <w:tr w:rsidR="00E0356E" w:rsidRPr="00323521" w14:paraId="4977EDC6"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A0A5552" w14:textId="5172446F" w:rsidR="00E0356E" w:rsidRPr="00323521" w:rsidRDefault="00E0356E" w:rsidP="037BBD19">
            <w:pPr>
              <w:rPr>
                <w:rFonts w:asciiTheme="minorHAnsi" w:hAnsiTheme="minorHAnsi"/>
              </w:rPr>
            </w:pPr>
            <w:r w:rsidRPr="037BBD19">
              <w:rPr>
                <w:rFonts w:asciiTheme="minorHAnsi" w:hAnsiTheme="minorHAnsi"/>
                <w:color w:val="2E74B5" w:themeColor="accent1" w:themeShade="BF"/>
                <w:sz w:val="28"/>
                <w:szCs w:val="28"/>
              </w:rPr>
              <w:t>Proposed supervisory team:</w:t>
            </w:r>
            <w:r w:rsidR="002F31FE" w:rsidRPr="037BBD19">
              <w:rPr>
                <w:rFonts w:asciiTheme="minorHAnsi" w:hAnsiTheme="minorHAnsi"/>
              </w:rPr>
              <w:t xml:space="preserve">                                      </w:t>
            </w:r>
          </w:p>
        </w:tc>
      </w:tr>
      <w:tr w:rsidR="00E0356E" w:rsidRPr="00323521" w14:paraId="6C401CA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7EA8CE6" w14:textId="7D0F629D" w:rsidR="00274ACB" w:rsidRPr="002B287F" w:rsidRDefault="00274ACB" w:rsidP="00274ACB">
            <w:pPr>
              <w:pStyle w:val="ListParagraph"/>
              <w:ind w:left="360"/>
              <w:rPr>
                <w:rFonts w:asciiTheme="majorHAnsi" w:eastAsia="Times New Roman" w:hAnsiTheme="majorHAnsi" w:cs="Times New Roman"/>
                <w:b w:val="0"/>
                <w:bCs w:val="0"/>
                <w:szCs w:val="24"/>
                <w:lang w:eastAsia="en-GB"/>
              </w:rPr>
            </w:pPr>
          </w:p>
          <w:p w14:paraId="585A59EF" w14:textId="36BC90D4" w:rsidR="003870CC" w:rsidRPr="002B287F" w:rsidRDefault="003870CC" w:rsidP="037BBD19">
            <w:pPr>
              <w:spacing w:line="259" w:lineRule="auto"/>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szCs w:val="24"/>
                <w:lang w:eastAsia="en-GB"/>
              </w:rPr>
              <w:t>Professor Irwin Nazareth</w:t>
            </w:r>
            <w:r w:rsidRPr="002B287F">
              <w:rPr>
                <w:rFonts w:asciiTheme="majorHAnsi" w:eastAsia="Times New Roman" w:hAnsiTheme="majorHAnsi" w:cs="Times New Roman"/>
                <w:b w:val="0"/>
                <w:bCs w:val="0"/>
                <w:szCs w:val="24"/>
                <w:lang w:eastAsia="en-GB"/>
              </w:rPr>
              <w:t xml:space="preserve"> (Academic GP and lead for the PCPH Mental Health Group, UCL)</w:t>
            </w:r>
          </w:p>
          <w:p w14:paraId="15979F33" w14:textId="379F4349" w:rsidR="569348B3" w:rsidRPr="002B287F" w:rsidRDefault="569348B3" w:rsidP="037BBD19">
            <w:pPr>
              <w:spacing w:line="259" w:lineRule="auto"/>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szCs w:val="24"/>
                <w:lang w:eastAsia="en-GB"/>
              </w:rPr>
              <w:t xml:space="preserve">Dr </w:t>
            </w:r>
            <w:r w:rsidR="003870CC" w:rsidRPr="002B287F">
              <w:rPr>
                <w:rFonts w:asciiTheme="majorHAnsi" w:eastAsia="Times New Roman" w:hAnsiTheme="majorHAnsi" w:cs="Times New Roman"/>
                <w:szCs w:val="24"/>
                <w:lang w:eastAsia="en-GB"/>
              </w:rPr>
              <w:t>Laura Horsfall</w:t>
            </w:r>
            <w:r w:rsidRPr="002B287F">
              <w:rPr>
                <w:rFonts w:asciiTheme="majorHAnsi" w:eastAsia="Times New Roman" w:hAnsiTheme="majorHAnsi" w:cs="Times New Roman"/>
                <w:b w:val="0"/>
                <w:bCs w:val="0"/>
                <w:szCs w:val="24"/>
                <w:lang w:eastAsia="en-GB"/>
              </w:rPr>
              <w:t xml:space="preserve"> (</w:t>
            </w:r>
            <w:r w:rsidR="003870CC" w:rsidRPr="002B287F">
              <w:rPr>
                <w:rFonts w:asciiTheme="majorHAnsi" w:eastAsia="Times New Roman" w:hAnsiTheme="majorHAnsi" w:cs="Times New Roman"/>
                <w:b w:val="0"/>
                <w:bCs w:val="0"/>
                <w:szCs w:val="24"/>
                <w:lang w:eastAsia="en-GB"/>
              </w:rPr>
              <w:t>Senior Epidemiologist</w:t>
            </w:r>
            <w:r w:rsidRPr="002B287F">
              <w:rPr>
                <w:rFonts w:asciiTheme="majorHAnsi" w:eastAsia="Times New Roman" w:hAnsiTheme="majorHAnsi" w:cs="Times New Roman"/>
                <w:b w:val="0"/>
                <w:bCs w:val="0"/>
                <w:szCs w:val="24"/>
                <w:lang w:eastAsia="en-GB"/>
              </w:rPr>
              <w:t xml:space="preserve">, </w:t>
            </w:r>
            <w:r w:rsidR="00C15373" w:rsidRPr="002B287F">
              <w:rPr>
                <w:rFonts w:asciiTheme="majorHAnsi" w:eastAsia="Times New Roman" w:hAnsiTheme="majorHAnsi" w:cs="Times New Roman"/>
                <w:b w:val="0"/>
                <w:bCs w:val="0"/>
                <w:szCs w:val="24"/>
                <w:lang w:eastAsia="en-GB"/>
              </w:rPr>
              <w:t xml:space="preserve">Clinical Epidemiology and Electronic Health Records Research Team, </w:t>
            </w:r>
            <w:r w:rsidRPr="002B287F">
              <w:rPr>
                <w:rFonts w:asciiTheme="majorHAnsi" w:eastAsia="Times New Roman" w:hAnsiTheme="majorHAnsi" w:cs="Times New Roman"/>
                <w:b w:val="0"/>
                <w:bCs w:val="0"/>
                <w:szCs w:val="24"/>
                <w:lang w:eastAsia="en-GB"/>
              </w:rPr>
              <w:t>UCL</w:t>
            </w:r>
            <w:r w:rsidR="00C15373" w:rsidRPr="002B287F">
              <w:rPr>
                <w:rFonts w:asciiTheme="majorHAnsi" w:eastAsia="Times New Roman" w:hAnsiTheme="majorHAnsi" w:cs="Times New Roman"/>
                <w:b w:val="0"/>
                <w:bCs w:val="0"/>
                <w:szCs w:val="24"/>
                <w:lang w:eastAsia="en-GB"/>
              </w:rPr>
              <w:t xml:space="preserve"> PCPH</w:t>
            </w:r>
            <w:r w:rsidRPr="002B287F">
              <w:rPr>
                <w:rFonts w:asciiTheme="majorHAnsi" w:eastAsia="Times New Roman" w:hAnsiTheme="majorHAnsi" w:cs="Times New Roman"/>
                <w:b w:val="0"/>
                <w:bCs w:val="0"/>
                <w:szCs w:val="24"/>
                <w:lang w:eastAsia="en-GB"/>
              </w:rPr>
              <w:t>)</w:t>
            </w:r>
          </w:p>
          <w:p w14:paraId="5374BF2F" w14:textId="2088F64A" w:rsidR="037BBD19" w:rsidRPr="002B287F" w:rsidRDefault="00770D4D" w:rsidP="00E21F0B">
            <w:pPr>
              <w:spacing w:line="259" w:lineRule="auto"/>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szCs w:val="24"/>
                <w:lang w:eastAsia="en-GB"/>
              </w:rPr>
              <w:t xml:space="preserve">Dr Thomas </w:t>
            </w:r>
            <w:proofErr w:type="spellStart"/>
            <w:r w:rsidRPr="002B287F">
              <w:rPr>
                <w:rFonts w:asciiTheme="majorHAnsi" w:eastAsia="Times New Roman" w:hAnsiTheme="majorHAnsi" w:cs="Times New Roman"/>
                <w:szCs w:val="24"/>
                <w:lang w:eastAsia="en-GB"/>
              </w:rPr>
              <w:t>Pasvol</w:t>
            </w:r>
            <w:proofErr w:type="spellEnd"/>
            <w:r w:rsidRPr="002B287F">
              <w:rPr>
                <w:rFonts w:asciiTheme="majorHAnsi" w:eastAsia="Times New Roman" w:hAnsiTheme="majorHAnsi" w:cs="Times New Roman"/>
                <w:b w:val="0"/>
                <w:bCs w:val="0"/>
                <w:szCs w:val="24"/>
                <w:lang w:eastAsia="en-GB"/>
              </w:rPr>
              <w:t xml:space="preserve"> (</w:t>
            </w:r>
            <w:r w:rsidR="00C15373" w:rsidRPr="002B287F">
              <w:rPr>
                <w:rFonts w:asciiTheme="majorHAnsi" w:eastAsia="Times New Roman" w:hAnsiTheme="majorHAnsi" w:cs="Times New Roman"/>
                <w:b w:val="0"/>
                <w:bCs w:val="0"/>
                <w:szCs w:val="24"/>
                <w:lang w:eastAsia="en-GB"/>
              </w:rPr>
              <w:t>Barts and the London School of Medicine and Dentistry)</w:t>
            </w:r>
          </w:p>
          <w:p w14:paraId="66D22701" w14:textId="75CCB76B" w:rsidR="037BBD19" w:rsidRPr="002B287F" w:rsidRDefault="037BBD19" w:rsidP="037BBD19">
            <w:pPr>
              <w:pStyle w:val="ListParagraph"/>
              <w:ind w:left="0"/>
              <w:rPr>
                <w:rFonts w:asciiTheme="majorHAnsi" w:eastAsia="Times New Roman" w:hAnsiTheme="majorHAnsi" w:cs="Times New Roman"/>
                <w:b w:val="0"/>
                <w:bCs w:val="0"/>
                <w:szCs w:val="24"/>
                <w:lang w:eastAsia="en-GB"/>
              </w:rPr>
            </w:pPr>
          </w:p>
          <w:p w14:paraId="62875687" w14:textId="25624B38" w:rsidR="0072712A" w:rsidRPr="002B287F" w:rsidRDefault="00C93707" w:rsidP="00274ACB">
            <w:pPr>
              <w:pStyle w:val="ListParagraph"/>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We</w:t>
            </w:r>
            <w:r w:rsidR="0072712A" w:rsidRPr="002B287F">
              <w:rPr>
                <w:rFonts w:asciiTheme="majorHAnsi" w:eastAsia="Times New Roman" w:hAnsiTheme="majorHAnsi" w:cs="Times New Roman"/>
                <w:b w:val="0"/>
                <w:bCs w:val="0"/>
                <w:szCs w:val="24"/>
                <w:lang w:eastAsia="en-GB"/>
              </w:rPr>
              <w:t xml:space="preserve"> offer expertise in </w:t>
            </w:r>
            <w:r w:rsidR="00C15373" w:rsidRPr="002B287F">
              <w:rPr>
                <w:rFonts w:asciiTheme="majorHAnsi" w:eastAsia="Times New Roman" w:hAnsiTheme="majorHAnsi" w:cs="Times New Roman"/>
                <w:b w:val="0"/>
                <w:bCs w:val="0"/>
                <w:szCs w:val="24"/>
                <w:lang w:eastAsia="en-GB"/>
              </w:rPr>
              <w:t>electronic health records,</w:t>
            </w:r>
            <w:r w:rsidR="0072712A" w:rsidRPr="002B287F">
              <w:rPr>
                <w:rFonts w:asciiTheme="majorHAnsi" w:eastAsia="Times New Roman" w:hAnsiTheme="majorHAnsi" w:cs="Times New Roman"/>
                <w:b w:val="0"/>
                <w:bCs w:val="0"/>
                <w:szCs w:val="24"/>
                <w:lang w:eastAsia="en-GB"/>
              </w:rPr>
              <w:t xml:space="preserve"> </w:t>
            </w:r>
            <w:r w:rsidR="00C15373" w:rsidRPr="002B287F">
              <w:rPr>
                <w:rFonts w:asciiTheme="majorHAnsi" w:eastAsia="Times New Roman" w:hAnsiTheme="majorHAnsi" w:cs="Times New Roman"/>
                <w:b w:val="0"/>
                <w:bCs w:val="0"/>
                <w:szCs w:val="24"/>
                <w:lang w:eastAsia="en-GB"/>
              </w:rPr>
              <w:t xml:space="preserve">primary care, </w:t>
            </w:r>
            <w:r w:rsidR="0072712A" w:rsidRPr="002B287F">
              <w:rPr>
                <w:rFonts w:asciiTheme="majorHAnsi" w:eastAsia="Times New Roman" w:hAnsiTheme="majorHAnsi" w:cs="Times New Roman"/>
                <w:b w:val="0"/>
                <w:bCs w:val="0"/>
                <w:szCs w:val="24"/>
                <w:lang w:eastAsia="en-GB"/>
              </w:rPr>
              <w:t xml:space="preserve">mental health, </w:t>
            </w:r>
            <w:r w:rsidR="00C15373" w:rsidRPr="002B287F">
              <w:rPr>
                <w:rFonts w:asciiTheme="majorHAnsi" w:eastAsia="Times New Roman" w:hAnsiTheme="majorHAnsi" w:cs="Times New Roman"/>
                <w:b w:val="0"/>
                <w:bCs w:val="0"/>
                <w:szCs w:val="24"/>
                <w:lang w:eastAsia="en-GB"/>
              </w:rPr>
              <w:t>antibiotic prescribing,</w:t>
            </w:r>
            <w:r w:rsidR="0072712A" w:rsidRPr="002B287F">
              <w:rPr>
                <w:rFonts w:asciiTheme="majorHAnsi" w:eastAsia="Times New Roman" w:hAnsiTheme="majorHAnsi" w:cs="Times New Roman"/>
                <w:b w:val="0"/>
                <w:bCs w:val="0"/>
                <w:szCs w:val="24"/>
                <w:lang w:eastAsia="en-GB"/>
              </w:rPr>
              <w:t xml:space="preserve"> design and evaluation, and quantitative methodology</w:t>
            </w:r>
            <w:r w:rsidR="00C15373" w:rsidRPr="002B287F">
              <w:rPr>
                <w:rFonts w:asciiTheme="majorHAnsi" w:eastAsia="Times New Roman" w:hAnsiTheme="majorHAnsi" w:cs="Times New Roman"/>
                <w:b w:val="0"/>
                <w:bCs w:val="0"/>
                <w:szCs w:val="24"/>
                <w:lang w:eastAsia="en-GB"/>
              </w:rPr>
              <w:t xml:space="preserve"> (descriptive epidemiology, causal inference, risk prediction).</w:t>
            </w:r>
            <w:r w:rsidRPr="002B287F">
              <w:rPr>
                <w:rFonts w:asciiTheme="majorHAnsi" w:eastAsia="Times New Roman" w:hAnsiTheme="majorHAnsi" w:cs="Times New Roman"/>
                <w:b w:val="0"/>
                <w:bCs w:val="0"/>
                <w:szCs w:val="24"/>
                <w:lang w:eastAsia="en-GB"/>
              </w:rPr>
              <w:t xml:space="preserve"> We are a friendly and inclusive supervisory team who will support your training, personal development, and independent interests within the general project theme.</w:t>
            </w:r>
          </w:p>
          <w:p w14:paraId="4976C3BE" w14:textId="77777777" w:rsidR="00274ACB" w:rsidRPr="0072712A" w:rsidRDefault="00274ACB" w:rsidP="0072712A">
            <w:pPr>
              <w:rPr>
                <w:rFonts w:asciiTheme="minorHAnsi" w:hAnsiTheme="minorHAnsi"/>
                <w:szCs w:val="24"/>
              </w:rPr>
            </w:pPr>
          </w:p>
        </w:tc>
      </w:tr>
      <w:tr w:rsidR="00787EF3" w:rsidRPr="00323521" w14:paraId="6F63D82B"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064A981" w14:textId="6C6B3D7B" w:rsidR="00787EF3" w:rsidRPr="00072693" w:rsidRDefault="00787EF3" w:rsidP="00274ACB">
            <w:pPr>
              <w:pStyle w:val="ListParagraph"/>
              <w:ind w:left="360"/>
              <w:rPr>
                <w:rFonts w:asciiTheme="minorHAnsi" w:hAnsiTheme="minorHAnsi"/>
                <w:b w:val="0"/>
                <w:bCs w:val="0"/>
                <w:szCs w:val="24"/>
              </w:rPr>
            </w:pPr>
          </w:p>
          <w:p w14:paraId="5F113800" w14:textId="61B5A77B" w:rsidR="00072693" w:rsidRPr="002B287F" w:rsidRDefault="00072693" w:rsidP="00274ACB">
            <w:pPr>
              <w:pStyle w:val="ListParagraph"/>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There are excellent opportunities for collaboration and learning</w:t>
            </w:r>
            <w:r w:rsidR="0072712A" w:rsidRPr="002B287F">
              <w:rPr>
                <w:rFonts w:asciiTheme="majorHAnsi" w:eastAsia="Times New Roman" w:hAnsiTheme="majorHAnsi" w:cs="Times New Roman"/>
                <w:b w:val="0"/>
                <w:bCs w:val="0"/>
                <w:szCs w:val="24"/>
                <w:lang w:eastAsia="en-GB"/>
              </w:rPr>
              <w:t>:</w:t>
            </w:r>
          </w:p>
          <w:p w14:paraId="49B6878B" w14:textId="77777777" w:rsidR="00072693" w:rsidRPr="002B287F" w:rsidRDefault="00072693" w:rsidP="00274ACB">
            <w:pPr>
              <w:pStyle w:val="ListParagraph"/>
              <w:ind w:left="360"/>
              <w:rPr>
                <w:rFonts w:asciiTheme="majorHAnsi" w:eastAsia="Times New Roman" w:hAnsiTheme="majorHAnsi" w:cs="Times New Roman"/>
                <w:b w:val="0"/>
                <w:bCs w:val="0"/>
                <w:szCs w:val="24"/>
                <w:lang w:eastAsia="en-GB"/>
              </w:rPr>
            </w:pPr>
          </w:p>
          <w:p w14:paraId="1CEDDE06" w14:textId="75A8C4AA" w:rsidR="0078689E"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 xml:space="preserve">Departmental </w:t>
            </w:r>
            <w:r w:rsidR="00C15373" w:rsidRPr="002B287F">
              <w:rPr>
                <w:rFonts w:asciiTheme="majorHAnsi" w:eastAsia="Times New Roman" w:hAnsiTheme="majorHAnsi" w:cs="Times New Roman"/>
                <w:b w:val="0"/>
                <w:bCs w:val="0"/>
                <w:szCs w:val="24"/>
                <w:lang w:eastAsia="en-GB"/>
              </w:rPr>
              <w:t>Clinical Epidemiology and Electronic Health Records Research Team and the Mental Health Group with close links to UCL Psychiatry</w:t>
            </w:r>
          </w:p>
          <w:p w14:paraId="4F46AF0C" w14:textId="668DA3D8" w:rsidR="0078689E"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 xml:space="preserve">PhD students across UCL, </w:t>
            </w:r>
            <w:proofErr w:type="gramStart"/>
            <w:r w:rsidRPr="002B287F">
              <w:rPr>
                <w:rFonts w:asciiTheme="majorHAnsi" w:eastAsia="Times New Roman" w:hAnsiTheme="majorHAnsi" w:cs="Times New Roman"/>
                <w:b w:val="0"/>
                <w:bCs w:val="0"/>
                <w:szCs w:val="24"/>
                <w:lang w:eastAsia="en-GB"/>
              </w:rPr>
              <w:t>e.g.</w:t>
            </w:r>
            <w:proofErr w:type="gramEnd"/>
            <w:r w:rsidRPr="002B287F">
              <w:rPr>
                <w:rFonts w:asciiTheme="majorHAnsi" w:eastAsia="Times New Roman" w:hAnsiTheme="majorHAnsi" w:cs="Times New Roman"/>
                <w:b w:val="0"/>
                <w:bCs w:val="0"/>
                <w:szCs w:val="24"/>
                <w:lang w:eastAsia="en-GB"/>
              </w:rPr>
              <w:t xml:space="preserve"> Methodology groups</w:t>
            </w:r>
          </w:p>
          <w:p w14:paraId="5780CF9B" w14:textId="7126BCF3" w:rsidR="00072693"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 xml:space="preserve">NIHR </w:t>
            </w:r>
            <w:r w:rsidR="00072693" w:rsidRPr="002B287F">
              <w:rPr>
                <w:rFonts w:asciiTheme="majorHAnsi" w:eastAsia="Times New Roman" w:hAnsiTheme="majorHAnsi" w:cs="Times New Roman"/>
                <w:b w:val="0"/>
                <w:bCs w:val="0"/>
                <w:szCs w:val="24"/>
                <w:lang w:eastAsia="en-GB"/>
              </w:rPr>
              <w:t>School for Primary Care Research (</w:t>
            </w:r>
            <w:r w:rsidRPr="002B287F">
              <w:rPr>
                <w:rFonts w:asciiTheme="majorHAnsi" w:eastAsia="Times New Roman" w:hAnsiTheme="majorHAnsi" w:cs="Times New Roman"/>
                <w:b w:val="0"/>
                <w:bCs w:val="0"/>
                <w:szCs w:val="24"/>
                <w:lang w:eastAsia="en-GB"/>
              </w:rPr>
              <w:t>national</w:t>
            </w:r>
            <w:r w:rsidR="00072693" w:rsidRPr="002B287F">
              <w:rPr>
                <w:rFonts w:asciiTheme="majorHAnsi" w:eastAsia="Times New Roman" w:hAnsiTheme="majorHAnsi" w:cs="Times New Roman"/>
                <w:b w:val="0"/>
                <w:bCs w:val="0"/>
                <w:szCs w:val="24"/>
                <w:lang w:eastAsia="en-GB"/>
              </w:rPr>
              <w:t>)</w:t>
            </w:r>
          </w:p>
          <w:p w14:paraId="7BD0A0F1" w14:textId="0319000F" w:rsidR="0078689E"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Collaborations with NHS clinical service providers and policymakers locally and nationally</w:t>
            </w:r>
          </w:p>
          <w:p w14:paraId="220F35E2" w14:textId="08A6C8FF" w:rsidR="00787EF3" w:rsidRDefault="00787EF3" w:rsidP="00274ACB">
            <w:pPr>
              <w:pStyle w:val="ListParagraph"/>
              <w:ind w:left="360"/>
              <w:rPr>
                <w:rFonts w:asciiTheme="minorHAnsi" w:hAnsiTheme="minorHAnsi"/>
                <w:b w:val="0"/>
                <w:szCs w:val="24"/>
              </w:rPr>
            </w:pPr>
          </w:p>
        </w:tc>
      </w:tr>
      <w:tr w:rsidR="00E0356E" w:rsidRPr="00323521" w14:paraId="6F97C7C9"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6CAAAAAC" w14:textId="77777777" w:rsidR="000C3C03" w:rsidRPr="000C3C03" w:rsidRDefault="000C3C03" w:rsidP="00072693">
            <w:pPr>
              <w:spacing w:after="120"/>
              <w:rPr>
                <w:rFonts w:asciiTheme="minorHAnsi" w:hAnsiTheme="minorHAnsi"/>
                <w:b w:val="0"/>
                <w:sz w:val="2"/>
                <w:szCs w:val="24"/>
              </w:rPr>
            </w:pPr>
          </w:p>
          <w:p w14:paraId="150F4CC2" w14:textId="376A4256" w:rsidR="00392A6A" w:rsidRDefault="006072E2" w:rsidP="0070752F">
            <w:pPr>
              <w:pStyle w:val="p"/>
              <w:rPr>
                <w:rFonts w:asciiTheme="majorHAnsi" w:hAnsiTheme="majorHAnsi"/>
              </w:rPr>
            </w:pPr>
            <w:r w:rsidRPr="00DB04EC">
              <w:rPr>
                <w:rFonts w:asciiTheme="majorHAnsi" w:hAnsiTheme="majorHAnsi"/>
                <w:b w:val="0"/>
                <w:bCs w:val="0"/>
              </w:rPr>
              <w:t xml:space="preserve">Since their discovery in the 1960s, fluoroquinolone antibiotics have become increasingly popular antimicrobials for moderate to severe infections and are on the World Health Organization’s List of Essential Medicines. Fluoroquinolone antibiotics are known to cause very rare but severe adverse reactions that have only recently received attention from regulatory agencies. </w:t>
            </w:r>
            <w:r w:rsidR="00DB04EC" w:rsidRPr="00DB04EC">
              <w:rPr>
                <w:rFonts w:asciiTheme="majorHAnsi" w:hAnsiTheme="majorHAnsi"/>
                <w:b w:val="0"/>
                <w:bCs w:val="0"/>
              </w:rPr>
              <w:t xml:space="preserve">Warnings and </w:t>
            </w:r>
            <w:r w:rsidR="00553DDF">
              <w:rPr>
                <w:rFonts w:asciiTheme="majorHAnsi" w:hAnsiTheme="majorHAnsi"/>
                <w:b w:val="0"/>
                <w:bCs w:val="0"/>
              </w:rPr>
              <w:t xml:space="preserve">legal </w:t>
            </w:r>
            <w:r w:rsidR="00DB04EC" w:rsidRPr="00DB04EC">
              <w:rPr>
                <w:rFonts w:asciiTheme="majorHAnsi" w:hAnsiTheme="majorHAnsi"/>
                <w:b w:val="0"/>
                <w:bCs w:val="0"/>
              </w:rPr>
              <w:t xml:space="preserve">restrictions are now in place across the US and Europe, but these antibiotics are still very popular in low- and middle-income countries. The decision to restrict these drugs in high-income countries was not based on large-scale quantitative analyses that might support action in other settings. </w:t>
            </w:r>
            <w:r w:rsidRPr="00DB04EC">
              <w:rPr>
                <w:rFonts w:asciiTheme="majorHAnsi" w:hAnsiTheme="majorHAnsi"/>
                <w:b w:val="0"/>
                <w:bCs w:val="0"/>
              </w:rPr>
              <w:t>These projects aim to describe sociodemographic and time trends of fluoroquinolone antibiotics and their associated adverse drug events (ADEs) in UK primary care.</w:t>
            </w:r>
            <w:r w:rsidR="00DB04EC" w:rsidRPr="00DB04EC">
              <w:rPr>
                <w:rFonts w:asciiTheme="majorHAnsi" w:hAnsiTheme="majorHAnsi"/>
                <w:b w:val="0"/>
                <w:bCs w:val="0"/>
              </w:rPr>
              <w:t xml:space="preserve"> </w:t>
            </w:r>
          </w:p>
          <w:p w14:paraId="56217755" w14:textId="2DE26F76" w:rsidR="00ED6B6B" w:rsidRPr="00ED6B6B" w:rsidRDefault="00ED6B6B" w:rsidP="00ED6B6B">
            <w:pPr>
              <w:pStyle w:val="p"/>
              <w:numPr>
                <w:ilvl w:val="0"/>
                <w:numId w:val="5"/>
              </w:numPr>
              <w:rPr>
                <w:rFonts w:asciiTheme="majorHAnsi" w:hAnsiTheme="majorHAnsi"/>
                <w:b w:val="0"/>
                <w:bCs w:val="0"/>
              </w:rPr>
            </w:pPr>
            <w:r w:rsidRPr="00ED6B6B">
              <w:rPr>
                <w:rFonts w:asciiTheme="majorHAnsi" w:hAnsiTheme="majorHAnsi"/>
                <w:b w:val="0"/>
                <w:bCs w:val="0"/>
              </w:rPr>
              <w:t>A systematic review of fluoroquinolone antibiotic treatment and adverse neuropsychiatric health outcomes</w:t>
            </w:r>
          </w:p>
          <w:p w14:paraId="62DABCAF" w14:textId="33FD9FF6" w:rsidR="00ED6B6B" w:rsidRPr="00ED6B6B" w:rsidRDefault="00ED6B6B" w:rsidP="00ED6B6B">
            <w:pPr>
              <w:pStyle w:val="p"/>
              <w:numPr>
                <w:ilvl w:val="0"/>
                <w:numId w:val="5"/>
              </w:numPr>
              <w:rPr>
                <w:rFonts w:asciiTheme="majorHAnsi" w:hAnsiTheme="majorHAnsi"/>
                <w:b w:val="0"/>
                <w:bCs w:val="0"/>
              </w:rPr>
            </w:pPr>
            <w:r>
              <w:rPr>
                <w:rFonts w:asciiTheme="majorHAnsi" w:hAnsiTheme="majorHAnsi"/>
                <w:b w:val="0"/>
                <w:bCs w:val="0"/>
              </w:rPr>
              <w:t xml:space="preserve">A 20-year descriptive study of sociodemographic time trends in </w:t>
            </w:r>
            <w:r w:rsidRPr="00ED6B6B">
              <w:rPr>
                <w:rFonts w:asciiTheme="majorHAnsi" w:hAnsiTheme="majorHAnsi"/>
                <w:b w:val="0"/>
                <w:bCs w:val="0"/>
              </w:rPr>
              <w:t>fluoroquinolone antibiotic</w:t>
            </w:r>
            <w:r>
              <w:rPr>
                <w:rFonts w:asciiTheme="majorHAnsi" w:hAnsiTheme="majorHAnsi"/>
                <w:b w:val="0"/>
                <w:bCs w:val="0"/>
              </w:rPr>
              <w:t xml:space="preserve"> prescriptions in the UK: </w:t>
            </w:r>
            <w:r w:rsidRPr="00ED6B6B">
              <w:rPr>
                <w:rFonts w:asciiTheme="majorHAnsi" w:hAnsiTheme="majorHAnsi"/>
                <w:b w:val="0"/>
                <w:bCs w:val="0"/>
              </w:rPr>
              <w:t>a population-based cohort study using electronic health records.</w:t>
            </w:r>
          </w:p>
          <w:p w14:paraId="079C3929" w14:textId="23EE793C" w:rsidR="00ED6B6B" w:rsidRPr="00ED6B6B" w:rsidRDefault="00ED6B6B" w:rsidP="00ED6B6B">
            <w:pPr>
              <w:pStyle w:val="p"/>
              <w:numPr>
                <w:ilvl w:val="0"/>
                <w:numId w:val="5"/>
              </w:numPr>
              <w:rPr>
                <w:rFonts w:asciiTheme="majorHAnsi" w:hAnsiTheme="majorHAnsi"/>
                <w:b w:val="0"/>
                <w:bCs w:val="0"/>
              </w:rPr>
            </w:pPr>
            <w:r w:rsidRPr="00ED6B6B">
              <w:rPr>
                <w:rFonts w:asciiTheme="majorHAnsi" w:hAnsiTheme="majorHAnsi"/>
                <w:b w:val="0"/>
                <w:bCs w:val="0"/>
              </w:rPr>
              <w:t xml:space="preserve">Fluoroquinolone antibiotic treatment and adverse neuropsychiatric health outcomes in young people: a population-based cohort study using electronic health records. </w:t>
            </w:r>
          </w:p>
          <w:p w14:paraId="0EADB69C" w14:textId="12DCC237" w:rsidR="00ED6B6B" w:rsidRPr="007C456A" w:rsidRDefault="007C456A" w:rsidP="00ED6B6B">
            <w:pPr>
              <w:pStyle w:val="p"/>
              <w:numPr>
                <w:ilvl w:val="0"/>
                <w:numId w:val="5"/>
              </w:numPr>
              <w:rPr>
                <w:rFonts w:asciiTheme="majorHAnsi" w:hAnsiTheme="majorHAnsi"/>
                <w:b w:val="0"/>
                <w:bCs w:val="0"/>
              </w:rPr>
            </w:pPr>
            <w:r>
              <w:rPr>
                <w:rFonts w:asciiTheme="majorHAnsi" w:hAnsiTheme="majorHAnsi"/>
                <w:b w:val="0"/>
                <w:bCs w:val="0"/>
              </w:rPr>
              <w:t xml:space="preserve">The impact of regulatory decisions on </w:t>
            </w:r>
            <w:r w:rsidRPr="00ED6B6B">
              <w:rPr>
                <w:rFonts w:asciiTheme="majorHAnsi" w:hAnsiTheme="majorHAnsi"/>
                <w:b w:val="0"/>
                <w:bCs w:val="0"/>
              </w:rPr>
              <w:t>fluoroquinolone antibiotic</w:t>
            </w:r>
            <w:r>
              <w:rPr>
                <w:rFonts w:asciiTheme="majorHAnsi" w:hAnsiTheme="majorHAnsi"/>
                <w:b w:val="0"/>
                <w:bCs w:val="0"/>
              </w:rPr>
              <w:t xml:space="preserve">s in high-income countries on prescription rates in </w:t>
            </w:r>
            <w:r w:rsidRPr="00DB04EC">
              <w:rPr>
                <w:rFonts w:asciiTheme="majorHAnsi" w:hAnsiTheme="majorHAnsi"/>
                <w:b w:val="0"/>
                <w:bCs w:val="0"/>
              </w:rPr>
              <w:t>low- and middle-income countries</w:t>
            </w:r>
            <w:r>
              <w:rPr>
                <w:rFonts w:asciiTheme="majorHAnsi" w:hAnsiTheme="majorHAnsi"/>
                <w:b w:val="0"/>
                <w:bCs w:val="0"/>
              </w:rPr>
              <w:t>.</w:t>
            </w:r>
          </w:p>
          <w:p w14:paraId="3A137306" w14:textId="3D37ABC7" w:rsidR="007C456A" w:rsidRPr="007C456A" w:rsidRDefault="007C456A" w:rsidP="007C456A">
            <w:pPr>
              <w:pStyle w:val="p"/>
              <w:rPr>
                <w:rFonts w:asciiTheme="majorHAnsi" w:hAnsiTheme="majorHAnsi"/>
                <w:b w:val="0"/>
                <w:bCs w:val="0"/>
              </w:rPr>
            </w:pPr>
            <w:r>
              <w:rPr>
                <w:rFonts w:asciiTheme="majorHAnsi" w:hAnsiTheme="majorHAnsi"/>
                <w:b w:val="0"/>
                <w:bCs w:val="0"/>
              </w:rPr>
              <w:lastRenderedPageBreak/>
              <w:t>The trainee will learn how to manage and analyse electronic health records</w:t>
            </w:r>
            <w:r w:rsidR="00210420">
              <w:rPr>
                <w:rFonts w:asciiTheme="majorHAnsi" w:hAnsiTheme="majorHAnsi"/>
                <w:b w:val="0"/>
                <w:bCs w:val="0"/>
              </w:rPr>
              <w:t xml:space="preserve"> from the primary care setting</w:t>
            </w:r>
            <w:r>
              <w:rPr>
                <w:rFonts w:asciiTheme="majorHAnsi" w:hAnsiTheme="majorHAnsi"/>
                <w:b w:val="0"/>
                <w:bCs w:val="0"/>
              </w:rPr>
              <w:t xml:space="preserve">. They will learn </w:t>
            </w:r>
            <w:r w:rsidR="00585C28">
              <w:rPr>
                <w:rFonts w:asciiTheme="majorHAnsi" w:hAnsiTheme="majorHAnsi"/>
                <w:b w:val="0"/>
                <w:bCs w:val="0"/>
              </w:rPr>
              <w:t>systematic review methods</w:t>
            </w:r>
            <w:r>
              <w:rPr>
                <w:rFonts w:asciiTheme="majorHAnsi" w:hAnsiTheme="majorHAnsi"/>
                <w:b w:val="0"/>
                <w:bCs w:val="0"/>
              </w:rPr>
              <w:t xml:space="preserve">, descriptive </w:t>
            </w:r>
            <w:r w:rsidR="00585C28">
              <w:rPr>
                <w:rFonts w:asciiTheme="majorHAnsi" w:hAnsiTheme="majorHAnsi"/>
                <w:b w:val="0"/>
                <w:bCs w:val="0"/>
              </w:rPr>
              <w:t>epidemiology,</w:t>
            </w:r>
            <w:r>
              <w:rPr>
                <w:rFonts w:asciiTheme="majorHAnsi" w:hAnsiTheme="majorHAnsi"/>
                <w:b w:val="0"/>
                <w:bCs w:val="0"/>
              </w:rPr>
              <w:t xml:space="preserve"> and causal inference. </w:t>
            </w:r>
            <w:r w:rsidR="00585C28">
              <w:rPr>
                <w:rFonts w:asciiTheme="majorHAnsi" w:hAnsiTheme="majorHAnsi"/>
                <w:b w:val="0"/>
                <w:bCs w:val="0"/>
              </w:rPr>
              <w:t xml:space="preserve">The studies using electronic health records have been approved and data pre-extracted. The final study on global trends will require data access </w:t>
            </w:r>
            <w:r w:rsidR="00210420">
              <w:rPr>
                <w:rFonts w:asciiTheme="majorHAnsi" w:hAnsiTheme="majorHAnsi"/>
                <w:b w:val="0"/>
                <w:bCs w:val="0"/>
              </w:rPr>
              <w:t>approvals</w:t>
            </w:r>
            <w:r w:rsidR="00585C28">
              <w:rPr>
                <w:rFonts w:asciiTheme="majorHAnsi" w:hAnsiTheme="majorHAnsi"/>
                <w:b w:val="0"/>
                <w:bCs w:val="0"/>
              </w:rPr>
              <w:t>.</w:t>
            </w:r>
          </w:p>
          <w:p w14:paraId="067A09F5" w14:textId="77777777" w:rsidR="007C456A" w:rsidRPr="00ED6B6B" w:rsidRDefault="007C456A" w:rsidP="007C456A">
            <w:pPr>
              <w:pStyle w:val="p"/>
              <w:rPr>
                <w:rFonts w:asciiTheme="majorHAnsi" w:hAnsiTheme="majorHAnsi"/>
                <w:b w:val="0"/>
                <w:bCs w:val="0"/>
              </w:rPr>
            </w:pPr>
          </w:p>
          <w:p w14:paraId="5D81BC4C" w14:textId="77777777" w:rsidR="00ED6B6B" w:rsidRPr="00DB04EC" w:rsidRDefault="00ED6B6B" w:rsidP="00ED6B6B">
            <w:pPr>
              <w:pStyle w:val="p"/>
              <w:rPr>
                <w:rFonts w:asciiTheme="minorHAnsi" w:hAnsiTheme="minorHAnsi" w:cstheme="minorHAnsi"/>
                <w:b w:val="0"/>
                <w:bCs w:val="0"/>
              </w:rPr>
            </w:pPr>
          </w:p>
          <w:p w14:paraId="4E8397B4" w14:textId="2240DC67" w:rsidR="0070752F" w:rsidRPr="0070752F" w:rsidRDefault="0070752F" w:rsidP="00F517C1">
            <w:pPr>
              <w:pStyle w:val="p"/>
              <w:rPr>
                <w:rFonts w:asciiTheme="minorHAnsi" w:hAnsiTheme="minorHAnsi" w:cstheme="minorHAnsi"/>
                <w:b w:val="0"/>
                <w:sz w:val="2"/>
              </w:rPr>
            </w:pP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7DD1886B" w:rsidR="00E0356E" w:rsidRPr="00323521" w:rsidRDefault="002B0282" w:rsidP="00F517C1">
            <w:pPr>
              <w:pStyle w:val="BodyText2"/>
              <w:rPr>
                <w:rFonts w:asciiTheme="minorHAnsi" w:hAnsiTheme="minorHAnsi" w:cs="Arial"/>
                <w:sz w:val="24"/>
                <w:szCs w:val="24"/>
              </w:rPr>
            </w:pPr>
            <w:r w:rsidRPr="00323521">
              <w:rPr>
                <w:rFonts w:asciiTheme="minorHAnsi" w:hAnsiTheme="minorHAnsi" w:cs="Arial"/>
                <w:sz w:val="24"/>
                <w:szCs w:val="24"/>
              </w:rPr>
              <w:t xml:space="preserve"> </w:t>
            </w:r>
            <w:r w:rsidR="00430896" w:rsidRPr="002B287F">
              <w:rPr>
                <w:rFonts w:asciiTheme="majorHAnsi" w:hAnsiTheme="majorHAnsi"/>
                <w:bCs w:val="0"/>
                <w:sz w:val="24"/>
                <w:szCs w:val="24"/>
                <w:lang w:eastAsia="en-GB"/>
              </w:rPr>
              <w:t xml:space="preserve">Students will have access to </w:t>
            </w:r>
            <w:r w:rsidR="00F517C1" w:rsidRPr="002B287F">
              <w:rPr>
                <w:rFonts w:asciiTheme="majorHAnsi" w:hAnsiTheme="majorHAnsi"/>
                <w:bCs w:val="0"/>
                <w:sz w:val="24"/>
                <w:szCs w:val="24"/>
                <w:lang w:eastAsia="en-GB"/>
              </w:rPr>
              <w:t>high-quality</w:t>
            </w:r>
            <w:r w:rsidR="00430896" w:rsidRPr="002B287F">
              <w:rPr>
                <w:rFonts w:asciiTheme="majorHAnsi" w:hAnsiTheme="majorHAnsi"/>
                <w:bCs w:val="0"/>
                <w:sz w:val="24"/>
                <w:szCs w:val="24"/>
                <w:lang w:eastAsia="en-GB"/>
              </w:rPr>
              <w:t xml:space="preserve"> (free) training available through the </w:t>
            </w:r>
            <w:hyperlink r:id="rId11" w:history="1">
              <w:r w:rsidR="00430896" w:rsidRPr="002B287F">
                <w:rPr>
                  <w:rFonts w:asciiTheme="majorHAnsi" w:hAnsiTheme="majorHAnsi"/>
                  <w:lang w:eastAsia="en-GB"/>
                </w:rPr>
                <w:t>UCL Doctoral Training</w:t>
              </w:r>
            </w:hyperlink>
            <w:r w:rsidR="00430896" w:rsidRPr="002B287F">
              <w:rPr>
                <w:rFonts w:asciiTheme="majorHAnsi" w:hAnsiTheme="majorHAnsi"/>
                <w:bCs w:val="0"/>
                <w:sz w:val="24"/>
                <w:szCs w:val="24"/>
                <w:lang w:eastAsia="en-GB"/>
              </w:rPr>
              <w:t xml:space="preserve"> programme</w:t>
            </w:r>
            <w:r w:rsidR="00F517C1" w:rsidRPr="002B287F">
              <w:rPr>
                <w:rFonts w:asciiTheme="majorHAnsi" w:hAnsiTheme="majorHAnsi"/>
                <w:bCs w:val="0"/>
                <w:sz w:val="24"/>
                <w:szCs w:val="24"/>
                <w:lang w:eastAsia="en-GB"/>
              </w:rPr>
              <w:t xml:space="preserve"> (</w:t>
            </w:r>
            <w:proofErr w:type="gramStart"/>
            <w:r w:rsidR="00F517C1" w:rsidRPr="002B287F">
              <w:rPr>
                <w:rFonts w:asciiTheme="majorHAnsi" w:hAnsiTheme="majorHAnsi"/>
                <w:bCs w:val="0"/>
                <w:sz w:val="24"/>
                <w:szCs w:val="24"/>
                <w:lang w:eastAsia="en-GB"/>
              </w:rPr>
              <w:t>e.g.</w:t>
            </w:r>
            <w:proofErr w:type="gramEnd"/>
            <w:r w:rsidR="00F517C1" w:rsidRPr="002B287F">
              <w:rPr>
                <w:rFonts w:asciiTheme="majorHAnsi" w:hAnsiTheme="majorHAnsi"/>
                <w:bCs w:val="0"/>
                <w:sz w:val="24"/>
                <w:szCs w:val="24"/>
                <w:lang w:eastAsia="en-GB"/>
              </w:rPr>
              <w:t xml:space="preserve"> &gt;51 courses on Research skills and statistics)</w:t>
            </w:r>
            <w:r w:rsidR="00430896" w:rsidRPr="002B287F">
              <w:rPr>
                <w:rFonts w:asciiTheme="majorHAnsi" w:hAnsiTheme="majorHAnsi"/>
                <w:bCs w:val="0"/>
                <w:sz w:val="24"/>
                <w:szCs w:val="24"/>
                <w:lang w:eastAsia="en-GB"/>
              </w:rPr>
              <w:t>: as well as department seminars, training, and research group meetings.</w:t>
            </w:r>
            <w:r w:rsidR="00E4709A">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EA7C68">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3ACC8DEF" w:rsidR="00EA7C68" w:rsidRPr="00430896" w:rsidRDefault="00430896" w:rsidP="00E4709A">
            <w:pPr>
              <w:pStyle w:val="BodyText2"/>
              <w:tabs>
                <w:tab w:val="clear" w:pos="720"/>
              </w:tabs>
              <w:spacing w:after="120"/>
              <w:jc w:val="both"/>
              <w:rPr>
                <w:rFonts w:asciiTheme="minorHAnsi" w:hAnsiTheme="minorHAnsi" w:cs="Arial"/>
                <w:sz w:val="24"/>
                <w:szCs w:val="24"/>
              </w:rPr>
            </w:pPr>
            <w:r w:rsidRPr="002B287F">
              <w:rPr>
                <w:rFonts w:asciiTheme="majorHAnsi" w:hAnsiTheme="majorHAnsi"/>
                <w:bCs w:val="0"/>
                <w:sz w:val="24"/>
                <w:szCs w:val="24"/>
                <w:lang w:eastAsia="en-GB"/>
              </w:rPr>
              <w:t>Students will be offered individual and small group support for learni</w:t>
            </w:r>
            <w:r w:rsidR="00E4709A" w:rsidRPr="002B287F">
              <w:rPr>
                <w:rFonts w:asciiTheme="majorHAnsi" w:hAnsiTheme="majorHAnsi"/>
                <w:bCs w:val="0"/>
                <w:sz w:val="24"/>
                <w:szCs w:val="24"/>
                <w:lang w:eastAsia="en-GB"/>
              </w:rPr>
              <w:t>ng</w:t>
            </w:r>
            <w:r w:rsidRPr="002B287F">
              <w:rPr>
                <w:rFonts w:asciiTheme="majorHAnsi" w:hAnsiTheme="majorHAnsi"/>
                <w:bCs w:val="0"/>
                <w:sz w:val="24"/>
                <w:szCs w:val="24"/>
                <w:lang w:eastAsia="en-GB"/>
              </w:rPr>
              <w:t xml:space="preserve"> including systematic review methods, quantitative </w:t>
            </w:r>
            <w:r w:rsidR="00E4709A" w:rsidRPr="002B287F">
              <w:rPr>
                <w:rFonts w:asciiTheme="majorHAnsi" w:hAnsiTheme="majorHAnsi"/>
                <w:bCs w:val="0"/>
                <w:sz w:val="24"/>
                <w:szCs w:val="24"/>
                <w:lang w:eastAsia="en-GB"/>
              </w:rPr>
              <w:t>methodologies</w:t>
            </w:r>
            <w:r w:rsidRPr="002B287F">
              <w:rPr>
                <w:rFonts w:asciiTheme="majorHAnsi" w:hAnsiTheme="majorHAnsi"/>
                <w:bCs w:val="0"/>
                <w:sz w:val="24"/>
                <w:szCs w:val="24"/>
                <w:lang w:eastAsia="en-GB"/>
              </w:rPr>
              <w:t xml:space="preserve">, </w:t>
            </w:r>
            <w:r w:rsidR="00E4709A" w:rsidRPr="002B287F">
              <w:rPr>
                <w:rFonts w:asciiTheme="majorHAnsi" w:hAnsiTheme="majorHAnsi"/>
                <w:bCs w:val="0"/>
                <w:sz w:val="24"/>
                <w:szCs w:val="24"/>
                <w:lang w:eastAsia="en-GB"/>
              </w:rPr>
              <w:t>writing, career development etc. There is a large, motivated and supportive community of PhD students at the Research Department of Primary Care and Population Health (PCPH).</w:t>
            </w:r>
            <w:r w:rsidR="00E4709A">
              <w:rPr>
                <w:rFonts w:asciiTheme="minorHAnsi" w:hAnsiTheme="minorHAnsi" w:cs="Arial"/>
                <w:sz w:val="24"/>
                <w:szCs w:val="24"/>
              </w:rPr>
              <w:t xml:space="preserve">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2CD7FA91" w:rsidR="00EA7C68" w:rsidRPr="00E4709A" w:rsidRDefault="00E4709A" w:rsidP="00D35001">
            <w:pPr>
              <w:pStyle w:val="BodyText2"/>
              <w:tabs>
                <w:tab w:val="clear" w:pos="720"/>
              </w:tabs>
              <w:spacing w:after="120"/>
              <w:jc w:val="both"/>
              <w:rPr>
                <w:rFonts w:asciiTheme="minorHAnsi" w:hAnsiTheme="minorHAnsi" w:cs="Arial"/>
                <w:sz w:val="24"/>
                <w:szCs w:val="24"/>
              </w:rPr>
            </w:pPr>
            <w:r w:rsidRPr="002B287F">
              <w:rPr>
                <w:rFonts w:asciiTheme="majorHAnsi" w:hAnsiTheme="majorHAnsi"/>
                <w:bCs w:val="0"/>
                <w:sz w:val="24"/>
                <w:szCs w:val="24"/>
                <w:lang w:eastAsia="en-GB"/>
              </w:rPr>
              <w:t xml:space="preserve">This is essential. PCPH has an Expert by Experience panel, </w:t>
            </w:r>
            <w:r w:rsidR="00D35001" w:rsidRPr="002B287F">
              <w:rPr>
                <w:rFonts w:asciiTheme="majorHAnsi" w:hAnsiTheme="majorHAnsi"/>
                <w:bCs w:val="0"/>
                <w:sz w:val="24"/>
                <w:szCs w:val="24"/>
                <w:lang w:eastAsia="en-GB"/>
              </w:rPr>
              <w:t>and</w:t>
            </w:r>
            <w:r w:rsidRPr="002B287F">
              <w:rPr>
                <w:rFonts w:asciiTheme="majorHAnsi" w:hAnsiTheme="majorHAnsi"/>
                <w:bCs w:val="0"/>
                <w:sz w:val="24"/>
                <w:szCs w:val="24"/>
                <w:lang w:eastAsia="en-GB"/>
              </w:rPr>
              <w:t xml:space="preserve"> PPI recruitment can also be more targeted.</w:t>
            </w:r>
          </w:p>
        </w:tc>
      </w:tr>
    </w:tbl>
    <w:p w14:paraId="0C875D8F" w14:textId="77777777" w:rsidR="00E0356E" w:rsidRPr="00323521" w:rsidRDefault="00E0356E">
      <w:pPr>
        <w:rPr>
          <w:rFonts w:asciiTheme="minorHAnsi" w:hAnsiTheme="minorHAnsi"/>
          <w:szCs w:val="24"/>
        </w:rPr>
      </w:pPr>
    </w:p>
    <w:sectPr w:rsidR="00E0356E" w:rsidRPr="00323521" w:rsidSect="00EA7C68">
      <w:headerReference w:type="default" r:id="rId12"/>
      <w:footerReference w:type="default" r:id="rId13"/>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6767" w14:textId="77777777" w:rsidR="005A1F2B" w:rsidRDefault="005A1F2B" w:rsidP="008A5DEB">
      <w:pPr>
        <w:spacing w:after="0" w:line="240" w:lineRule="auto"/>
      </w:pPr>
      <w:r>
        <w:separator/>
      </w:r>
    </w:p>
  </w:endnote>
  <w:endnote w:type="continuationSeparator" w:id="0">
    <w:p w14:paraId="62E29C4A" w14:textId="77777777" w:rsidR="005A1F2B" w:rsidRDefault="005A1F2B"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59C9" w14:textId="77777777" w:rsidR="005A1F2B" w:rsidRDefault="005A1F2B" w:rsidP="008A5DEB">
      <w:pPr>
        <w:spacing w:after="0" w:line="240" w:lineRule="auto"/>
      </w:pPr>
      <w:r>
        <w:separator/>
      </w:r>
    </w:p>
  </w:footnote>
  <w:footnote w:type="continuationSeparator" w:id="0">
    <w:p w14:paraId="2388D43E" w14:textId="77777777" w:rsidR="005A1F2B" w:rsidRDefault="005A1F2B"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0FFB78FF" w:rsidR="00FF6AEA" w:rsidRPr="00FF6AEA" w:rsidRDefault="00846525">
    <w:pPr>
      <w:pStyle w:val="Header"/>
      <w:rPr>
        <w:rFonts w:ascii="Calibri" w:hAnsi="Calibri" w:cs="Calibri"/>
      </w:rPr>
    </w:pPr>
    <w:r>
      <w:rPr>
        <w:rFonts w:ascii="Calibri" w:hAnsi="Calibri" w:cs="Calibri"/>
      </w:rPr>
      <w:t>October 2023</w:t>
    </w:r>
    <w:r w:rsidR="00FF6AEA"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2DB54424"/>
    <w:multiLevelType w:val="hybridMultilevel"/>
    <w:tmpl w:val="AB2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36108"/>
    <w:multiLevelType w:val="hybridMultilevel"/>
    <w:tmpl w:val="7826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5884777">
    <w:abstractNumId w:val="4"/>
  </w:num>
  <w:num w:numId="2" w16cid:durableId="343020544">
    <w:abstractNumId w:val="3"/>
  </w:num>
  <w:num w:numId="3" w16cid:durableId="1499926361">
    <w:abstractNumId w:val="0"/>
  </w:num>
  <w:num w:numId="4" w16cid:durableId="491868957">
    <w:abstractNumId w:val="1"/>
  </w:num>
  <w:num w:numId="5" w16cid:durableId="1476482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70043"/>
    <w:rsid w:val="00072693"/>
    <w:rsid w:val="0009232A"/>
    <w:rsid w:val="000B4388"/>
    <w:rsid w:val="000C3C03"/>
    <w:rsid w:val="00140508"/>
    <w:rsid w:val="0015007D"/>
    <w:rsid w:val="00210420"/>
    <w:rsid w:val="00244693"/>
    <w:rsid w:val="00245974"/>
    <w:rsid w:val="00274ACB"/>
    <w:rsid w:val="002A1B47"/>
    <w:rsid w:val="002B0282"/>
    <w:rsid w:val="002B287F"/>
    <w:rsid w:val="002F31FE"/>
    <w:rsid w:val="00323521"/>
    <w:rsid w:val="00362B4E"/>
    <w:rsid w:val="003870CC"/>
    <w:rsid w:val="00387400"/>
    <w:rsid w:val="00392A6A"/>
    <w:rsid w:val="003C5E0A"/>
    <w:rsid w:val="003F38CA"/>
    <w:rsid w:val="00404E7E"/>
    <w:rsid w:val="00430896"/>
    <w:rsid w:val="004E3BC1"/>
    <w:rsid w:val="00515545"/>
    <w:rsid w:val="00540F80"/>
    <w:rsid w:val="00553DDF"/>
    <w:rsid w:val="00585C28"/>
    <w:rsid w:val="005A1F2B"/>
    <w:rsid w:val="006072E2"/>
    <w:rsid w:val="006803D3"/>
    <w:rsid w:val="0070752F"/>
    <w:rsid w:val="0072712A"/>
    <w:rsid w:val="00747A0E"/>
    <w:rsid w:val="00770D4D"/>
    <w:rsid w:val="0078689E"/>
    <w:rsid w:val="00787EF3"/>
    <w:rsid w:val="007C456A"/>
    <w:rsid w:val="007E11EC"/>
    <w:rsid w:val="007F4BBA"/>
    <w:rsid w:val="008410F0"/>
    <w:rsid w:val="00846525"/>
    <w:rsid w:val="008A5DEB"/>
    <w:rsid w:val="00956790"/>
    <w:rsid w:val="009B098C"/>
    <w:rsid w:val="009F24DA"/>
    <w:rsid w:val="00A56B47"/>
    <w:rsid w:val="00A87625"/>
    <w:rsid w:val="00AC5D34"/>
    <w:rsid w:val="00B41F12"/>
    <w:rsid w:val="00B506F1"/>
    <w:rsid w:val="00B56F04"/>
    <w:rsid w:val="00BD4A62"/>
    <w:rsid w:val="00C15373"/>
    <w:rsid w:val="00C258FF"/>
    <w:rsid w:val="00C61C47"/>
    <w:rsid w:val="00C93707"/>
    <w:rsid w:val="00CF6369"/>
    <w:rsid w:val="00D35001"/>
    <w:rsid w:val="00D41758"/>
    <w:rsid w:val="00D93EC0"/>
    <w:rsid w:val="00DB04EC"/>
    <w:rsid w:val="00E0356E"/>
    <w:rsid w:val="00E21F0B"/>
    <w:rsid w:val="00E4709A"/>
    <w:rsid w:val="00E86490"/>
    <w:rsid w:val="00E92E34"/>
    <w:rsid w:val="00EA7C68"/>
    <w:rsid w:val="00EB278A"/>
    <w:rsid w:val="00EC6D60"/>
    <w:rsid w:val="00ED6B6B"/>
    <w:rsid w:val="00F01AC8"/>
    <w:rsid w:val="00F517C1"/>
    <w:rsid w:val="00FF6AEA"/>
    <w:rsid w:val="037BBD19"/>
    <w:rsid w:val="3515ECDC"/>
    <w:rsid w:val="569348B3"/>
    <w:rsid w:val="7145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customStyle="1" w:styleId="p">
    <w:name w:val="p"/>
    <w:basedOn w:val="Normal"/>
    <w:rsid w:val="0007269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72693"/>
    <w:rPr>
      <w:b/>
      <w:bCs/>
    </w:rPr>
  </w:style>
  <w:style w:type="character" w:styleId="Hyperlink">
    <w:name w:val="Hyperlink"/>
    <w:basedOn w:val="DefaultParagraphFont"/>
    <w:uiPriority w:val="99"/>
    <w:unhideWhenUsed/>
    <w:rsid w:val="00072693"/>
    <w:rPr>
      <w:color w:val="0000FF"/>
      <w:u w:val="single"/>
    </w:rPr>
  </w:style>
  <w:style w:type="character" w:customStyle="1" w:styleId="Heading1Char">
    <w:name w:val="Heading 1 Char"/>
    <w:basedOn w:val="DefaultParagraphFont"/>
    <w:link w:val="Heading1"/>
    <w:uiPriority w:val="9"/>
    <w:rsid w:val="00F517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1757">
      <w:bodyDiv w:val="1"/>
      <w:marLeft w:val="0"/>
      <w:marRight w:val="0"/>
      <w:marTop w:val="0"/>
      <w:marBottom w:val="0"/>
      <w:divBdr>
        <w:top w:val="none" w:sz="0" w:space="0" w:color="auto"/>
        <w:left w:val="none" w:sz="0" w:space="0" w:color="auto"/>
        <w:bottom w:val="none" w:sz="0" w:space="0" w:color="auto"/>
        <w:right w:val="none" w:sz="0" w:space="0" w:color="auto"/>
      </w:divBdr>
    </w:div>
    <w:div w:id="637302051">
      <w:bodyDiv w:val="1"/>
      <w:marLeft w:val="0"/>
      <w:marRight w:val="0"/>
      <w:marTop w:val="0"/>
      <w:marBottom w:val="0"/>
      <w:divBdr>
        <w:top w:val="none" w:sz="0" w:space="0" w:color="auto"/>
        <w:left w:val="none" w:sz="0" w:space="0" w:color="auto"/>
        <w:bottom w:val="none" w:sz="0" w:space="0" w:color="auto"/>
        <w:right w:val="none" w:sz="0" w:space="0" w:color="auto"/>
      </w:divBdr>
    </w:div>
    <w:div w:id="141605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d.ucl.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131409"/>
    <w:rsid w:val="001F2387"/>
    <w:rsid w:val="00607F77"/>
    <w:rsid w:val="0092590A"/>
    <w:rsid w:val="009B098C"/>
    <w:rsid w:val="00A438A5"/>
    <w:rsid w:val="00AE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AD8C9-01E6-475A-930F-F5E2877FDCBF}">
  <ds:schemaRefs>
    <ds:schemaRef ds:uri="http://schemas.microsoft.com/sharepoint/v3/contenttype/forms"/>
  </ds:schemaRefs>
</ds:datastoreItem>
</file>

<file path=customXml/itemProps2.xml><?xml version="1.0" encoding="utf-8"?>
<ds:datastoreItem xmlns:ds="http://schemas.openxmlformats.org/officeDocument/2006/customXml" ds:itemID="{7A0BC2F2-711E-4154-93DA-8F322E3F4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F5B60-62A7-4AB4-A0A2-1926AED91D15}">
  <ds:schemaRefs>
    <ds:schemaRef ds:uri="http://schemas.openxmlformats.org/officeDocument/2006/bibliography"/>
  </ds:schemaRefs>
</ds:datastoreItem>
</file>

<file path=customXml/itemProps4.xml><?xml version="1.0" encoding="utf-8"?>
<ds:datastoreItem xmlns:ds="http://schemas.openxmlformats.org/officeDocument/2006/customXml" ds:itemID="{469595DD-6FFE-4651-82B1-A35804E86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Horsfall, Laura</cp:lastModifiedBy>
  <cp:revision>2</cp:revision>
  <dcterms:created xsi:type="dcterms:W3CDTF">2022-09-16T13:48:00Z</dcterms:created>
  <dcterms:modified xsi:type="dcterms:W3CDTF">2022-09-16T13:48:00Z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