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57DD56" w14:paraId="0C8B62E1" w14:textId="77777777" w:rsidTr="6D57DD56">
        <w:tc>
          <w:tcPr>
            <w:tcW w:w="9015" w:type="dxa"/>
          </w:tcPr>
          <w:p w14:paraId="3CE59727" w14:textId="38AB2D6D" w:rsidR="28C98CB3" w:rsidRPr="008C5575" w:rsidRDefault="003D2DC5" w:rsidP="6D57DD56">
            <w:pPr>
              <w:rPr>
                <w:b/>
                <w:bCs/>
              </w:rPr>
            </w:pPr>
            <w:r>
              <w:t xml:space="preserve"> </w:t>
            </w:r>
            <w:r w:rsidR="28C98CB3" w:rsidRPr="008C5575">
              <w:rPr>
                <w:b/>
                <w:bCs/>
              </w:rPr>
              <w:t xml:space="preserve">Name </w:t>
            </w:r>
            <w:r w:rsidR="00232AEF">
              <w:rPr>
                <w:b/>
                <w:bCs/>
              </w:rPr>
              <w:t xml:space="preserve">&amp; email </w:t>
            </w:r>
            <w:r w:rsidR="28C98CB3" w:rsidRPr="008C5575">
              <w:rPr>
                <w:b/>
                <w:bCs/>
              </w:rPr>
              <w:t>supervisor</w:t>
            </w:r>
            <w:r w:rsidR="008C5575">
              <w:rPr>
                <w:b/>
                <w:bCs/>
              </w:rPr>
              <w:t>(s)</w:t>
            </w:r>
            <w:r w:rsidR="28C98CB3" w:rsidRPr="008C5575">
              <w:rPr>
                <w:b/>
                <w:bCs/>
              </w:rPr>
              <w:t>:</w:t>
            </w:r>
          </w:p>
          <w:p w14:paraId="17A4CE83" w14:textId="77777777" w:rsidR="00AF0A2F" w:rsidRDefault="00AF0A2F" w:rsidP="6D57DD56"/>
          <w:p w14:paraId="7A29CA9A" w14:textId="77777777" w:rsidR="006F577C" w:rsidRDefault="006F577C" w:rsidP="006F577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00664">
              <w:rPr>
                <w:rFonts w:ascii="Arial" w:hAnsi="Arial" w:cs="Arial"/>
              </w:rPr>
              <w:t>Dr Peter Edwards (lead), Prof Chris Salisbury, Prof Matthew Ridd</w:t>
            </w:r>
            <w:r w:rsidRPr="00862C7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04E5FAC" w14:textId="137FDC69" w:rsidR="006F577C" w:rsidRPr="00862C7F" w:rsidRDefault="00454B63" w:rsidP="006F577C">
            <w:pPr>
              <w:spacing w:line="360" w:lineRule="auto"/>
              <w:rPr>
                <w:rFonts w:ascii="Arial" w:hAnsi="Arial" w:cs="Arial"/>
              </w:rPr>
            </w:pPr>
            <w:hyperlink r:id="rId8" w:history="1">
              <w:r w:rsidR="006F577C" w:rsidRPr="00900664">
                <w:rPr>
                  <w:rStyle w:val="Hyperlink"/>
                  <w:rFonts w:ascii="Arial" w:hAnsi="Arial" w:cs="Arial"/>
                </w:rPr>
                <w:t>peter.edwards@bristol.ac.uk</w:t>
              </w:r>
            </w:hyperlink>
            <w:r w:rsidR="006F577C">
              <w:rPr>
                <w:rFonts w:ascii="Arial" w:hAnsi="Arial" w:cs="Arial"/>
                <w:b/>
                <w:bCs/>
              </w:rPr>
              <w:t xml:space="preserve"> </w:t>
            </w:r>
            <w:r w:rsidR="006F577C" w:rsidRPr="00900664">
              <w:rPr>
                <w:rFonts w:ascii="Arial" w:hAnsi="Arial" w:cs="Arial"/>
                <w:b/>
                <w:bCs/>
              </w:rPr>
              <w:t xml:space="preserve">  </w:t>
            </w:r>
            <w:r w:rsidR="006F577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A261ACA" w14:textId="6E84DD46" w:rsidR="009F72A2" w:rsidRDefault="009F72A2" w:rsidP="6D57DD56"/>
        </w:tc>
      </w:tr>
      <w:tr w:rsidR="6D57DD56" w14:paraId="67BFFE10" w14:textId="77777777" w:rsidTr="6D57DD56">
        <w:tc>
          <w:tcPr>
            <w:tcW w:w="9015" w:type="dxa"/>
          </w:tcPr>
          <w:p w14:paraId="6AAF805B" w14:textId="03D50B88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>Proposed length of internship</w:t>
            </w:r>
            <w:r w:rsidR="00232AEF">
              <w:rPr>
                <w:b/>
                <w:bCs/>
              </w:rPr>
              <w:t xml:space="preserve"> and when it could take place</w:t>
            </w:r>
            <w:r w:rsidRPr="00232AEF">
              <w:rPr>
                <w:b/>
                <w:bCs/>
              </w:rPr>
              <w:t>:</w:t>
            </w:r>
          </w:p>
          <w:p w14:paraId="0D0E91A0" w14:textId="00E2D23F" w:rsidR="00AF0A2F" w:rsidRDefault="00AF0A2F" w:rsidP="6D57DD56"/>
          <w:p w14:paraId="18A86EE4" w14:textId="658C34AE" w:rsidR="00095CED" w:rsidRPr="00A3381D" w:rsidRDefault="00095CED" w:rsidP="6D57DD56">
            <w:pPr>
              <w:rPr>
                <w:rFonts w:ascii="Arial" w:hAnsi="Arial" w:cs="Arial"/>
              </w:rPr>
            </w:pPr>
            <w:r w:rsidRPr="00A3381D">
              <w:rPr>
                <w:rFonts w:ascii="Arial" w:hAnsi="Arial" w:cs="Arial"/>
              </w:rPr>
              <w:t>16 working days</w:t>
            </w:r>
            <w:r w:rsidR="007F4F38">
              <w:rPr>
                <w:rFonts w:ascii="Arial" w:hAnsi="Arial" w:cs="Arial"/>
              </w:rPr>
              <w:t xml:space="preserve">. August 2022 </w:t>
            </w:r>
          </w:p>
          <w:p w14:paraId="1F972FF7" w14:textId="1EF08AEE" w:rsidR="0031012F" w:rsidRDefault="0031012F" w:rsidP="6D57DD56"/>
        </w:tc>
      </w:tr>
      <w:tr w:rsidR="6D57DD56" w14:paraId="312940B4" w14:textId="77777777" w:rsidTr="6D57DD56">
        <w:tc>
          <w:tcPr>
            <w:tcW w:w="9015" w:type="dxa"/>
          </w:tcPr>
          <w:p w14:paraId="7165F9B6" w14:textId="402E1785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 xml:space="preserve">Host </w:t>
            </w:r>
            <w:r w:rsidR="00AF0A2F" w:rsidRPr="00232AEF">
              <w:rPr>
                <w:b/>
                <w:bCs/>
              </w:rPr>
              <w:t>department</w:t>
            </w:r>
            <w:r w:rsidRPr="00232AEF">
              <w:rPr>
                <w:b/>
                <w:bCs/>
              </w:rPr>
              <w:t>:</w:t>
            </w:r>
          </w:p>
          <w:sdt>
            <w:sdtPr>
              <w:rPr>
                <w:rFonts w:ascii="Arial" w:hAnsi="Arial" w:cs="Arial"/>
              </w:rPr>
              <w:id w:val="1741595756"/>
              <w:placeholder>
                <w:docPart w:val="198E38E5D0774C84A32AD423520826A0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14:paraId="0A605D6C" w14:textId="35E5FBB0" w:rsidR="00AF0A2F" w:rsidRPr="00A3381D" w:rsidRDefault="00095CED" w:rsidP="6D57DD56">
                <w:pPr>
                  <w:rPr>
                    <w:rFonts w:ascii="Arial" w:hAnsi="Arial" w:cs="Arial"/>
                  </w:rPr>
                </w:pPr>
                <w:r w:rsidRPr="00A3381D">
                  <w:rPr>
                    <w:rFonts w:ascii="Arial" w:hAnsi="Arial" w:cs="Arial"/>
                  </w:rPr>
                  <w:t xml:space="preserve">Centre for Academic Primary Care, University of Bristol </w:t>
                </w:r>
              </w:p>
            </w:sdtContent>
          </w:sdt>
          <w:p w14:paraId="2AC78B81" w14:textId="7029B061" w:rsidR="00AF0A2F" w:rsidRDefault="00AF0A2F" w:rsidP="6D57DD56"/>
        </w:tc>
      </w:tr>
      <w:tr w:rsidR="6D57DD56" w14:paraId="4A6EF43A" w14:textId="77777777" w:rsidTr="6D57DD56">
        <w:tc>
          <w:tcPr>
            <w:tcW w:w="9015" w:type="dxa"/>
          </w:tcPr>
          <w:p w14:paraId="1FE20B83" w14:textId="0A051152" w:rsidR="28C98CB3" w:rsidRPr="00AF0A2F" w:rsidRDefault="28C98CB3" w:rsidP="6D57DD56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>How will the inter</w:t>
            </w:r>
            <w:r w:rsidR="00AF0A2F" w:rsidRPr="00AF0A2F">
              <w:rPr>
                <w:b/>
                <w:bCs/>
              </w:rPr>
              <w:t>n</w:t>
            </w:r>
            <w:r w:rsidRPr="00AF0A2F">
              <w:rPr>
                <w:b/>
                <w:bCs/>
              </w:rPr>
              <w:t xml:space="preserve">ship be </w:t>
            </w:r>
            <w:proofErr w:type="gramStart"/>
            <w:r w:rsidRPr="00AF0A2F">
              <w:rPr>
                <w:b/>
                <w:bCs/>
              </w:rPr>
              <w:t>conducted:</w:t>
            </w:r>
            <w:proofErr w:type="gramEnd"/>
          </w:p>
          <w:p w14:paraId="4D5BCC61" w14:textId="1BE2DE16" w:rsidR="6D57DD56" w:rsidRDefault="6D57DD56" w:rsidP="6D57DD56"/>
          <w:p w14:paraId="061FA197" w14:textId="1150726A" w:rsidR="6D57DD56" w:rsidRDefault="00454B63" w:rsidP="6D57DD56">
            <w:sdt>
              <w:sdt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In person at the university</w:t>
            </w:r>
          </w:p>
          <w:p w14:paraId="1E82EC54" w14:textId="356A8E1F" w:rsidR="00AF0A2F" w:rsidRDefault="00454B63" w:rsidP="6D57DD56">
            <w:sdt>
              <w:sdtPr>
                <w:id w:val="11733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Virtual/ from home</w:t>
            </w:r>
          </w:p>
          <w:p w14:paraId="6A44E3A2" w14:textId="77523C51" w:rsidR="00AF0A2F" w:rsidRDefault="00454B63" w:rsidP="6D57DD56">
            <w:sdt>
              <w:sdtPr>
                <w:id w:val="966630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CE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0A2F">
              <w:t xml:space="preserve"> Both are possible, depending on preference student</w:t>
            </w:r>
          </w:p>
          <w:p w14:paraId="3A811781" w14:textId="3F4B0DAF" w:rsidR="6D57DD56" w:rsidRDefault="6D57DD56" w:rsidP="6D57DD56"/>
        </w:tc>
      </w:tr>
      <w:tr w:rsidR="00E051AF" w14:paraId="5F50F3B6" w14:textId="77777777" w:rsidTr="6D57DD56">
        <w:tc>
          <w:tcPr>
            <w:tcW w:w="9015" w:type="dxa"/>
          </w:tcPr>
          <w:p w14:paraId="17D64709" w14:textId="77777777" w:rsidR="00E051AF" w:rsidRDefault="00E051AF" w:rsidP="6D57DD56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14:paraId="69E7F2B5" w14:textId="77777777" w:rsidR="00E051AF" w:rsidRDefault="00E051AF" w:rsidP="6D57DD56">
            <w:pPr>
              <w:rPr>
                <w:b/>
                <w:bCs/>
              </w:rPr>
            </w:pPr>
          </w:p>
          <w:p w14:paraId="178971D8" w14:textId="77777777" w:rsidR="00E051AF" w:rsidRDefault="00452EC0" w:rsidP="00452EC0">
            <w:pPr>
              <w:jc w:val="center"/>
              <w:rPr>
                <w:rFonts w:ascii="Arial" w:hAnsi="Arial" w:cs="Arial"/>
              </w:rPr>
            </w:pPr>
            <w:r w:rsidRPr="00900664">
              <w:rPr>
                <w:rFonts w:ascii="Arial" w:hAnsi="Arial" w:cs="Arial"/>
              </w:rPr>
              <w:t>The content of primary care telephone consultations</w:t>
            </w:r>
          </w:p>
          <w:p w14:paraId="73FD8129" w14:textId="07EC83D0" w:rsidR="00452EC0" w:rsidRPr="00AF0A2F" w:rsidRDefault="00452EC0" w:rsidP="00452EC0">
            <w:pPr>
              <w:jc w:val="center"/>
              <w:rPr>
                <w:b/>
                <w:bCs/>
              </w:rPr>
            </w:pPr>
          </w:p>
        </w:tc>
      </w:tr>
      <w:tr w:rsidR="6D57DD56" w14:paraId="3ABE3084" w14:textId="77777777" w:rsidTr="6D57DD56">
        <w:tc>
          <w:tcPr>
            <w:tcW w:w="9015" w:type="dxa"/>
          </w:tcPr>
          <w:p w14:paraId="7E365494" w14:textId="36125615" w:rsidR="6D57DD56" w:rsidRPr="00CA3BAC" w:rsidRDefault="0031012F" w:rsidP="6D57DD56">
            <w:pPr>
              <w:rPr>
                <w:b/>
                <w:bCs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 w:rsidR="00CA3BAC">
              <w:rPr>
                <w:b/>
                <w:bCs/>
              </w:rPr>
              <w:t xml:space="preserve"> </w:t>
            </w:r>
            <w:r w:rsidR="00CA3BAC" w:rsidRPr="00CA3BAC">
              <w:rPr>
                <w:i/>
                <w:iCs/>
              </w:rPr>
              <w:t xml:space="preserve">(max </w:t>
            </w:r>
            <w:r w:rsidR="00502532">
              <w:rPr>
                <w:i/>
                <w:iCs/>
              </w:rPr>
              <w:t>2</w:t>
            </w:r>
            <w:r w:rsidR="00280776">
              <w:rPr>
                <w:i/>
                <w:iCs/>
              </w:rPr>
              <w:t>5</w:t>
            </w:r>
            <w:r w:rsidR="00CA3BAC" w:rsidRPr="00CA3BAC">
              <w:rPr>
                <w:i/>
                <w:iCs/>
              </w:rPr>
              <w:t>0 words</w:t>
            </w:r>
            <w:r w:rsidR="00CA3BAC">
              <w:rPr>
                <w:i/>
                <w:iCs/>
              </w:rPr>
              <w:t>, can include hyperlinks to further information</w:t>
            </w:r>
            <w:r w:rsidR="00CA3BAC" w:rsidRPr="00CA3BAC">
              <w:rPr>
                <w:i/>
                <w:iCs/>
              </w:rPr>
              <w:t>)</w:t>
            </w:r>
          </w:p>
          <w:p w14:paraId="30EAF3B9" w14:textId="120987F1" w:rsidR="0031012F" w:rsidRDefault="0031012F" w:rsidP="6D57DD56"/>
          <w:p w14:paraId="28BEAA25" w14:textId="1C16FDBC" w:rsidR="00BA06CF" w:rsidRPr="00862C7F" w:rsidRDefault="00BA06CF" w:rsidP="00BA06CF">
            <w:pPr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62C7F">
              <w:rPr>
                <w:rFonts w:ascii="Arial" w:hAnsi="Arial" w:cs="Arial"/>
                <w:b/>
                <w:bCs/>
                <w:u w:val="single"/>
              </w:rPr>
              <w:t xml:space="preserve">Background </w:t>
            </w:r>
          </w:p>
          <w:p w14:paraId="35920E41" w14:textId="77777777" w:rsidR="00BA06CF" w:rsidRPr="00862C7F" w:rsidRDefault="00BA06CF" w:rsidP="00BA06CF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62C7F">
              <w:rPr>
                <w:rFonts w:ascii="Arial" w:eastAsia="Times New Roman" w:hAnsi="Arial" w:cs="Arial"/>
              </w:rPr>
              <w:t>The One in a Million Archive collected over 300 video / audio recordings of routine adult face-to-face consultations in 2014-15, with 23 different GPs from 12 practices.</w:t>
            </w:r>
            <w:r w:rsidRPr="00862C7F">
              <w:rPr>
                <w:rFonts w:ascii="Arial" w:eastAsia="Times New Roman" w:hAnsi="Arial" w:cs="Arial"/>
              </w:rPr>
              <w:fldChar w:fldCharType="begin"/>
            </w:r>
            <w:r w:rsidRPr="00862C7F">
              <w:rPr>
                <w:rFonts w:ascii="Arial" w:eastAsia="Times New Roman" w:hAnsi="Arial" w:cs="Arial"/>
              </w:rPr>
              <w:instrText xml:space="preserve"> ADDIN EN.CITE &lt;EndNote&gt;&lt;Cite&gt;&lt;Author&gt;Jepson&lt;/Author&gt;&lt;Year&gt;2017&lt;/Year&gt;&lt;RecNum&gt;15&lt;/RecNum&gt;&lt;DisplayText&gt;&lt;style face="superscript"&gt;1&lt;/style&gt;&lt;/DisplayText&gt;&lt;record&gt;&lt;rec-number&gt;15&lt;/rec-number&gt;&lt;foreign-keys&gt;&lt;key app="EN" db-id="xftr5zf0q20p5yevss7xs5raavartstfe0xt" timestamp="1532333269"&gt;15&lt;/key&gt;&lt;/foreign-keys&gt;&lt;ref-type name="Journal Article"&gt;17&lt;/ref-type&gt;&lt;contributors&gt;&lt;authors&gt;&lt;author&gt;Jepson, Marcus&lt;/author&gt;&lt;author&gt;Salisbury, Chris&lt;/author&gt;&lt;author&gt;Ridd, Matthew J.&lt;/author&gt;&lt;author&gt;Metcalfe, Chris&lt;/author&gt;&lt;author&gt;Garside, Ludivine&lt;/author&gt;&lt;author&gt;Barnes, Rebecca K.&lt;/author&gt;&lt;/authors&gt;&lt;/contributors&gt;&lt;titles&gt;&lt;title&gt;The ‘One in a Million’ study: creating a database of UK primary care consultations&lt;/title&gt;&lt;secondary-title&gt;British Journal of General Practice&lt;/secondary-title&gt;&lt;/titles&gt;&lt;periodical&gt;&lt;full-title&gt;British Journal of General Practice&lt;/full-title&gt;&lt;abbr-1&gt;Br J Gen Pract&lt;/abbr-1&gt;&lt;/periodical&gt;&lt;pages&gt;e345&lt;/pages&gt;&lt;volume&gt;67&lt;/volume&gt;&lt;number&gt;658&lt;/number&gt;&lt;dates&gt;&lt;year&gt;2017&lt;/year&gt;&lt;/dates&gt;&lt;urls&gt;&lt;related-urls&gt;&lt;url&gt;http://bjgp.org/content/67/658/e345.abstract&lt;/url&gt;&lt;/related-urls&gt;&lt;/urls&gt;&lt;electronic-resource-num&gt;10.3399/bjgp17X690521&lt;/electronic-resource-num&gt;&lt;/record&gt;&lt;/Cite&gt;&lt;/EndNote&gt;</w:instrText>
            </w:r>
            <w:r w:rsidRPr="00862C7F">
              <w:rPr>
                <w:rFonts w:ascii="Arial" w:eastAsia="Times New Roman" w:hAnsi="Arial" w:cs="Arial"/>
              </w:rPr>
              <w:fldChar w:fldCharType="separate"/>
            </w:r>
            <w:r w:rsidRPr="00862C7F">
              <w:rPr>
                <w:rFonts w:ascii="Arial" w:eastAsia="Times New Roman" w:hAnsi="Arial" w:cs="Arial"/>
                <w:noProof/>
                <w:vertAlign w:val="superscript"/>
              </w:rPr>
              <w:t>1</w:t>
            </w:r>
            <w:r w:rsidRPr="00862C7F">
              <w:rPr>
                <w:rFonts w:ascii="Arial" w:eastAsia="Times New Roman" w:hAnsi="Arial" w:cs="Arial"/>
              </w:rPr>
              <w:fldChar w:fldCharType="end"/>
            </w:r>
            <w:r w:rsidRPr="00862C7F">
              <w:rPr>
                <w:rFonts w:ascii="Arial" w:eastAsia="Times New Roman" w:hAnsi="Arial" w:cs="Arial"/>
              </w:rPr>
              <w:t xml:space="preserve"> The archive has subsequently been used in over 20 different research projects, exploring doctor-patient interactions and potential areas for improvement, as well as being a resource for teaching. </w:t>
            </w:r>
          </w:p>
          <w:p w14:paraId="3F39B206" w14:textId="77777777" w:rsidR="00BA06CF" w:rsidRPr="00862C7F" w:rsidRDefault="00BA06CF" w:rsidP="00BA06CF">
            <w:pPr>
              <w:spacing w:line="360" w:lineRule="auto"/>
              <w:rPr>
                <w:rFonts w:ascii="Arial" w:eastAsia="Times New Roman" w:hAnsi="Arial" w:cs="Arial"/>
              </w:rPr>
            </w:pPr>
          </w:p>
          <w:p w14:paraId="236F64ED" w14:textId="77777777" w:rsidR="00BA06CF" w:rsidRPr="00862C7F" w:rsidRDefault="00BA06CF" w:rsidP="00BA06CF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62C7F">
              <w:rPr>
                <w:rFonts w:ascii="Arial" w:eastAsia="Times New Roman" w:hAnsi="Arial" w:cs="Arial"/>
              </w:rPr>
              <w:t>Changes in the way GPs want or have had to work, accelerated by the covid-19 pandemic, has led to change a higher proportion of consultations being undertaken via telephone. To better understand the nature and impact of telephone consulting on clinical care, the One in a Million team have planned another round of data collection, focussing on telephone consultations, including consultations from allied healthcare professionals such as advanced nurse practitioners as well as GPs.</w:t>
            </w:r>
          </w:p>
          <w:p w14:paraId="037F9C49" w14:textId="542E0F60" w:rsidR="00BA06CF" w:rsidRDefault="00BA06CF" w:rsidP="00BA06CF">
            <w:pPr>
              <w:spacing w:line="360" w:lineRule="auto"/>
              <w:rPr>
                <w:rFonts w:ascii="Arial" w:eastAsia="Times New Roman" w:hAnsi="Arial" w:cs="Arial"/>
              </w:rPr>
            </w:pPr>
          </w:p>
          <w:p w14:paraId="0610B1D1" w14:textId="77777777" w:rsidR="00BA06CF" w:rsidRPr="00862C7F" w:rsidRDefault="00BA06CF" w:rsidP="00BA06CF">
            <w:pPr>
              <w:spacing w:line="360" w:lineRule="auto"/>
              <w:rPr>
                <w:rFonts w:ascii="Arial" w:eastAsia="Times New Roman" w:hAnsi="Arial" w:cs="Arial"/>
              </w:rPr>
            </w:pPr>
          </w:p>
          <w:p w14:paraId="519B5B3C" w14:textId="7EB08011" w:rsidR="00BA06CF" w:rsidRPr="00862C7F" w:rsidRDefault="00BA06CF" w:rsidP="00BA06CF">
            <w:pPr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62C7F">
              <w:rPr>
                <w:rFonts w:ascii="Arial" w:hAnsi="Arial" w:cs="Arial"/>
                <w:b/>
                <w:bCs/>
                <w:u w:val="single"/>
              </w:rPr>
              <w:t>Research Question</w:t>
            </w:r>
          </w:p>
          <w:p w14:paraId="5007E7E9" w14:textId="77777777" w:rsidR="00BA06CF" w:rsidRPr="00862C7F" w:rsidRDefault="00BA06CF" w:rsidP="00BA06C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862C7F">
              <w:rPr>
                <w:rFonts w:ascii="Arial" w:hAnsi="Arial" w:cs="Arial"/>
              </w:rPr>
              <w:t>How many and what type of problems are raised during telephone consultations?</w:t>
            </w:r>
          </w:p>
          <w:p w14:paraId="5A58AAB0" w14:textId="77777777" w:rsidR="00BA06CF" w:rsidRPr="00862C7F" w:rsidRDefault="00BA06CF" w:rsidP="00BA06CF">
            <w:pPr>
              <w:spacing w:line="360" w:lineRule="auto"/>
              <w:rPr>
                <w:rFonts w:ascii="Arial" w:hAnsi="Arial" w:cs="Arial"/>
              </w:rPr>
            </w:pPr>
          </w:p>
          <w:p w14:paraId="16990200" w14:textId="6F3BFCFD" w:rsidR="00BA06CF" w:rsidRPr="00862C7F" w:rsidRDefault="00BA06CF" w:rsidP="00BA06CF">
            <w:pPr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62C7F">
              <w:rPr>
                <w:rFonts w:ascii="Arial" w:hAnsi="Arial" w:cs="Arial"/>
                <w:b/>
                <w:bCs/>
                <w:u w:val="single"/>
              </w:rPr>
              <w:lastRenderedPageBreak/>
              <w:t>Methods</w:t>
            </w:r>
          </w:p>
          <w:p w14:paraId="06EE683C" w14:textId="77777777" w:rsidR="00BA06CF" w:rsidRPr="00862C7F" w:rsidRDefault="00BA06CF" w:rsidP="00BA06CF">
            <w:pPr>
              <w:spacing w:line="360" w:lineRule="auto"/>
              <w:rPr>
                <w:rFonts w:ascii="Arial" w:hAnsi="Arial" w:cs="Arial"/>
              </w:rPr>
            </w:pPr>
            <w:r w:rsidRPr="00862C7F">
              <w:rPr>
                <w:rFonts w:ascii="Arial" w:hAnsi="Arial" w:cs="Arial"/>
              </w:rPr>
              <w:t>You will be supported by Dr Edwards to code the content of a subsection of the consultations using a validated tool.</w:t>
            </w:r>
            <w:r w:rsidRPr="00862C7F">
              <w:rPr>
                <w:rFonts w:ascii="Arial" w:hAnsi="Arial" w:cs="Arial"/>
              </w:rPr>
              <w:fldChar w:fldCharType="begin"/>
            </w:r>
            <w:r w:rsidRPr="00862C7F">
              <w:rPr>
                <w:rFonts w:ascii="Arial" w:hAnsi="Arial" w:cs="Arial"/>
              </w:rPr>
              <w:instrText xml:space="preserve"> ADDIN EN.CITE &lt;EndNote&gt;&lt;Cite&gt;&lt;Author&gt;Procter&lt;/Author&gt;&lt;Year&gt;2014&lt;/Year&gt;&lt;RecNum&gt;16&lt;/RecNum&gt;&lt;DisplayText&gt;&lt;style face="superscript"&gt;2&lt;/style&gt;&lt;/DisplayText&gt;&lt;record&gt;&lt;rec-number&gt;16&lt;/rec-number&gt;&lt;foreign-keys&gt;&lt;key app="EN" db-id="xftr5zf0q20p5yevss7xs5raavartstfe0xt" timestamp="1532333338"&gt;16&lt;/key&gt;&lt;/foreign-keys&gt;&lt;ref-type name="Journal Article"&gt;17&lt;/ref-type&gt;&lt;contributors&gt;&lt;authors&gt;&lt;author&gt;Procter, Sunita&lt;/author&gt;&lt;author&gt;Stewart, Kate&lt;/author&gt;&lt;author&gt;Reeves, David&lt;/author&gt;&lt;author&gt;Bowen, Leah&lt;/author&gt;&lt;author&gt;Purdy, Sarah&lt;/author&gt;&lt;author&gt;Ridd, Matthew&lt;/author&gt;&lt;author&gt;Salisbury, Chris&lt;/author&gt;&lt;/authors&gt;&lt;/contributors&gt;&lt;titles&gt;&lt;title&gt;Complex consultations in primary care: a tool for assessing the range of health problems and issues addressed in general practice consultations&lt;/title&gt;&lt;secondary-title&gt;BMC Family Practice&lt;/secondary-title&gt;&lt;/titles&gt;&lt;periodical&gt;&lt;full-title&gt;BMC Family Practice&lt;/full-title&gt;&lt;abbr-1&gt;BMC Fam Pract&lt;/abbr-1&gt;&lt;/periodical&gt;&lt;pages&gt;105&lt;/pages&gt;&lt;volume&gt;15&lt;/volume&gt;&lt;number&gt;1&lt;/number&gt;&lt;dates&gt;&lt;year&gt;2014&lt;/year&gt;&lt;pub-dates&gt;&lt;date&gt;2014/05/27&lt;/date&gt;&lt;/pub-dates&gt;&lt;/dates&gt;&lt;isbn&gt;1471-2296&lt;/isbn&gt;&lt;urls&gt;&lt;related-urls&gt;&lt;url&gt;https://doi.org/10.1186/1471-2296-15-105&lt;/url&gt;&lt;/related-urls&gt;&lt;/urls&gt;&lt;electronic-resource-num&gt;10.1186/1471-2296-15-105&lt;/electronic-resource-num&gt;&lt;/record&gt;&lt;/Cite&gt;&lt;/EndNote&gt;</w:instrText>
            </w:r>
            <w:r w:rsidRPr="00862C7F">
              <w:rPr>
                <w:rFonts w:ascii="Arial" w:hAnsi="Arial" w:cs="Arial"/>
              </w:rPr>
              <w:fldChar w:fldCharType="separate"/>
            </w:r>
            <w:r w:rsidRPr="00862C7F">
              <w:rPr>
                <w:rFonts w:ascii="Arial" w:hAnsi="Arial" w:cs="Arial"/>
                <w:noProof/>
                <w:vertAlign w:val="superscript"/>
              </w:rPr>
              <w:t>2</w:t>
            </w:r>
            <w:r w:rsidRPr="00862C7F">
              <w:rPr>
                <w:rFonts w:ascii="Arial" w:hAnsi="Arial" w:cs="Arial"/>
              </w:rPr>
              <w:fldChar w:fldCharType="end"/>
            </w:r>
            <w:r w:rsidRPr="00862C7F">
              <w:rPr>
                <w:rFonts w:ascii="Arial" w:hAnsi="Arial" w:cs="Arial"/>
              </w:rPr>
              <w:t xml:space="preserve"> This will be achieved by:</w:t>
            </w:r>
          </w:p>
          <w:p w14:paraId="03217C0D" w14:textId="77777777" w:rsidR="00BA06CF" w:rsidRPr="00862C7F" w:rsidRDefault="00BA06CF" w:rsidP="00BA06C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862C7F">
              <w:rPr>
                <w:rFonts w:ascii="Arial" w:hAnsi="Arial" w:cs="Arial"/>
              </w:rPr>
              <w:t>Support and training on how to apply the tool</w:t>
            </w:r>
          </w:p>
          <w:p w14:paraId="36A09F51" w14:textId="77777777" w:rsidR="00BA06CF" w:rsidRPr="00862C7F" w:rsidRDefault="00BA06CF" w:rsidP="00BA06C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862C7F">
              <w:rPr>
                <w:rFonts w:ascii="Arial" w:hAnsi="Arial" w:cs="Arial"/>
              </w:rPr>
              <w:t>Listening to recorded consultations alongside transcripts</w:t>
            </w:r>
          </w:p>
          <w:p w14:paraId="4B0CC0CB" w14:textId="77777777" w:rsidR="00BA06CF" w:rsidRPr="00900664" w:rsidRDefault="00BA06CF" w:rsidP="00BA06C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862C7F">
              <w:rPr>
                <w:rFonts w:ascii="Arial" w:hAnsi="Arial" w:cs="Arial"/>
              </w:rPr>
              <w:t>Identifying different ‘problems’ discussed and the associated ‘issues’ attached to each problem</w:t>
            </w:r>
          </w:p>
          <w:p w14:paraId="07E67672" w14:textId="77777777" w:rsidR="0031012F" w:rsidRDefault="0031012F" w:rsidP="6D57DD56"/>
          <w:p w14:paraId="2F5A9728" w14:textId="77777777" w:rsidR="0080601E" w:rsidRPr="00862C7F" w:rsidRDefault="0080601E" w:rsidP="0080601E">
            <w:pPr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62C7F">
              <w:rPr>
                <w:rFonts w:ascii="Arial" w:hAnsi="Arial" w:cs="Arial"/>
                <w:b/>
                <w:bCs/>
                <w:u w:val="single"/>
              </w:rPr>
              <w:t>References</w:t>
            </w:r>
          </w:p>
          <w:p w14:paraId="4165A5A9" w14:textId="77777777" w:rsidR="0080601E" w:rsidRPr="00862C7F" w:rsidRDefault="0080601E" w:rsidP="0080601E">
            <w:pPr>
              <w:pStyle w:val="EndNoteBibliography"/>
              <w:spacing w:line="360" w:lineRule="auto"/>
              <w:rPr>
                <w:rFonts w:ascii="Arial" w:hAnsi="Arial" w:cs="Arial"/>
              </w:rPr>
            </w:pPr>
            <w:r w:rsidRPr="00862C7F">
              <w:rPr>
                <w:rFonts w:ascii="Arial" w:hAnsi="Arial" w:cs="Arial"/>
              </w:rPr>
              <w:fldChar w:fldCharType="begin"/>
            </w:r>
            <w:r w:rsidRPr="00862C7F">
              <w:rPr>
                <w:rFonts w:ascii="Arial" w:hAnsi="Arial" w:cs="Arial"/>
              </w:rPr>
              <w:instrText xml:space="preserve"> ADDIN EN.REFLIST </w:instrText>
            </w:r>
            <w:r w:rsidRPr="00862C7F">
              <w:rPr>
                <w:rFonts w:ascii="Arial" w:hAnsi="Arial" w:cs="Arial"/>
              </w:rPr>
              <w:fldChar w:fldCharType="separate"/>
            </w:r>
            <w:r w:rsidRPr="00862C7F">
              <w:rPr>
                <w:rFonts w:ascii="Arial" w:hAnsi="Arial" w:cs="Arial"/>
              </w:rPr>
              <w:t>1.</w:t>
            </w:r>
            <w:r w:rsidRPr="00862C7F">
              <w:rPr>
                <w:rFonts w:ascii="Arial" w:hAnsi="Arial" w:cs="Arial"/>
              </w:rPr>
              <w:tab/>
              <w:t xml:space="preserve">Jepson M, Salisbury C, Ridd MJ, et al. The ‘One in a Million’ study: creating a database of UK primary care consultations. Br J Gen Pract. 2017;67(658):e345. DOI: </w:t>
            </w:r>
            <w:hyperlink r:id="rId9" w:history="1">
              <w:r w:rsidRPr="00862C7F">
                <w:rPr>
                  <w:rStyle w:val="Hyperlink"/>
                  <w:rFonts w:ascii="Arial" w:hAnsi="Arial" w:cs="Arial"/>
                </w:rPr>
                <w:t>https://doi.org/10.3399/bjgp17X690521</w:t>
              </w:r>
            </w:hyperlink>
          </w:p>
          <w:p w14:paraId="73910CD9" w14:textId="77777777" w:rsidR="0080601E" w:rsidRPr="00862C7F" w:rsidRDefault="0080601E" w:rsidP="0080601E">
            <w:pPr>
              <w:pStyle w:val="EndNoteBibliography"/>
              <w:spacing w:line="360" w:lineRule="auto"/>
              <w:rPr>
                <w:rFonts w:ascii="Arial" w:hAnsi="Arial" w:cs="Arial"/>
              </w:rPr>
            </w:pPr>
            <w:r w:rsidRPr="00862C7F">
              <w:rPr>
                <w:rFonts w:ascii="Arial" w:hAnsi="Arial" w:cs="Arial"/>
              </w:rPr>
              <w:t>2.</w:t>
            </w:r>
            <w:r w:rsidRPr="00862C7F">
              <w:rPr>
                <w:rFonts w:ascii="Arial" w:hAnsi="Arial" w:cs="Arial"/>
              </w:rPr>
              <w:tab/>
              <w:t xml:space="preserve">Procter S, Stewart K, Reeves D, et al. Complex consultations in primary care: a tool for assessing the range of health problems and issues addressed in general practice consultations. BMC Fam Pract. 2014;15(1):105. DOI: </w:t>
            </w:r>
            <w:hyperlink r:id="rId10" w:history="1">
              <w:r w:rsidRPr="00862C7F">
                <w:rPr>
                  <w:rStyle w:val="Hyperlink"/>
                  <w:rFonts w:ascii="Arial" w:hAnsi="Arial" w:cs="Arial"/>
                </w:rPr>
                <w:t>https://doi.org/10.1186/1471-2296-15-105</w:t>
              </w:r>
            </w:hyperlink>
          </w:p>
          <w:p w14:paraId="7FA231DF" w14:textId="1EA6D37A" w:rsidR="0080601E" w:rsidRDefault="0080601E" w:rsidP="0080601E">
            <w:r w:rsidRPr="00862C7F">
              <w:rPr>
                <w:rFonts w:ascii="Arial" w:hAnsi="Arial" w:cs="Arial"/>
              </w:rPr>
              <w:fldChar w:fldCharType="end"/>
            </w:r>
          </w:p>
        </w:tc>
      </w:tr>
      <w:tr w:rsidR="6D57DD56" w14:paraId="31F73582" w14:textId="77777777" w:rsidTr="6D57DD56">
        <w:tc>
          <w:tcPr>
            <w:tcW w:w="9015" w:type="dxa"/>
          </w:tcPr>
          <w:p w14:paraId="2772A792" w14:textId="49CAC44D" w:rsidR="6D57DD56" w:rsidRDefault="00667A6F" w:rsidP="6D57DD56">
            <w:pPr>
              <w:rPr>
                <w:b/>
                <w:bCs/>
              </w:rPr>
            </w:pPr>
            <w:r w:rsidRPr="00667A6F">
              <w:rPr>
                <w:b/>
                <w:bCs/>
              </w:rPr>
              <w:lastRenderedPageBreak/>
              <w:t>Learning objectives:</w:t>
            </w:r>
          </w:p>
          <w:p w14:paraId="02D9A501" w14:textId="77777777" w:rsidR="0080601E" w:rsidRPr="00CA3BAC" w:rsidRDefault="0080601E" w:rsidP="00A3381D">
            <w:pPr>
              <w:spacing w:line="360" w:lineRule="auto"/>
              <w:rPr>
                <w:b/>
                <w:bCs/>
                <w:i/>
                <w:iCs/>
              </w:rPr>
            </w:pPr>
          </w:p>
          <w:p w14:paraId="2741FA81" w14:textId="7549FF4C" w:rsidR="00D57DC4" w:rsidRDefault="00D57DC4" w:rsidP="00A3381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A3381D">
              <w:rPr>
                <w:rFonts w:ascii="Arial" w:hAnsi="Arial" w:cs="Arial"/>
              </w:rPr>
              <w:t>Experience of working on a primary care research project</w:t>
            </w:r>
          </w:p>
          <w:p w14:paraId="32D40085" w14:textId="7E2279B0" w:rsidR="004B185E" w:rsidRPr="00A3381D" w:rsidRDefault="004B185E" w:rsidP="00A3381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Write a research </w:t>
            </w:r>
            <w:r w:rsidR="00733895">
              <w:rPr>
                <w:rFonts w:ascii="Arial" w:hAnsi="Arial" w:cs="Arial"/>
              </w:rPr>
              <w:t>Gantt</w:t>
            </w:r>
            <w:r>
              <w:rPr>
                <w:rFonts w:ascii="Arial" w:hAnsi="Arial" w:cs="Arial"/>
              </w:rPr>
              <w:t xml:space="preserve"> chart.</w:t>
            </w:r>
          </w:p>
          <w:p w14:paraId="3F712414" w14:textId="77777777" w:rsidR="001B2ACA" w:rsidRPr="00A3381D" w:rsidRDefault="001B2ACA" w:rsidP="00A3381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A3381D">
              <w:rPr>
                <w:rFonts w:ascii="Arial" w:hAnsi="Arial" w:cs="Arial"/>
              </w:rPr>
              <w:t xml:space="preserve">Learn about research governance and data protection </w:t>
            </w:r>
          </w:p>
          <w:p w14:paraId="33E6B574" w14:textId="1B6477DD" w:rsidR="00D57DC4" w:rsidRPr="00A3381D" w:rsidRDefault="00584215" w:rsidP="00A3381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A3381D">
              <w:rPr>
                <w:rFonts w:ascii="Arial" w:hAnsi="Arial" w:cs="Arial"/>
              </w:rPr>
              <w:t>Be able to write a short scientific report of your work</w:t>
            </w:r>
          </w:p>
          <w:p w14:paraId="146C2C0B" w14:textId="17E20A1F" w:rsidR="0031012F" w:rsidRPr="00733895" w:rsidRDefault="001B2ACA" w:rsidP="00A3381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A3381D">
              <w:rPr>
                <w:rFonts w:ascii="Arial" w:hAnsi="Arial" w:cs="Arial"/>
              </w:rPr>
              <w:t>Present your work at a local or national meeting</w:t>
            </w:r>
          </w:p>
          <w:p w14:paraId="2D7865D1" w14:textId="55AACC4B" w:rsidR="00CA3BAC" w:rsidRDefault="00CA3BAC" w:rsidP="6D57DD56"/>
        </w:tc>
      </w:tr>
      <w:tr w:rsidR="6D57DD56" w14:paraId="5F1F1CA8" w14:textId="77777777" w:rsidTr="6D57DD56">
        <w:tc>
          <w:tcPr>
            <w:tcW w:w="9015" w:type="dxa"/>
          </w:tcPr>
          <w:p w14:paraId="326BE30E" w14:textId="1EEBF1A1" w:rsidR="6D57DD56" w:rsidRPr="00CA3BAC" w:rsidRDefault="00CA3BAC" w:rsidP="6D57DD56">
            <w:pPr>
              <w:rPr>
                <w:b/>
                <w:bCs/>
              </w:rPr>
            </w:pPr>
            <w:r w:rsidRPr="00CA3BAC">
              <w:rPr>
                <w:b/>
                <w:bCs/>
              </w:rPr>
              <w:t>Any further information:</w:t>
            </w:r>
          </w:p>
          <w:p w14:paraId="3F2A598D" w14:textId="77777777" w:rsidR="0051615E" w:rsidRDefault="0051615E" w:rsidP="6D57DD56"/>
          <w:p w14:paraId="3AE0BD62" w14:textId="77777777" w:rsidR="006B5E4E" w:rsidRPr="00862C7F" w:rsidRDefault="006B5E4E" w:rsidP="006B5E4E">
            <w:pPr>
              <w:spacing w:line="360" w:lineRule="auto"/>
              <w:rPr>
                <w:rFonts w:ascii="Arial" w:hAnsi="Arial" w:cs="Arial"/>
              </w:rPr>
            </w:pPr>
            <w:r w:rsidRPr="00862C7F">
              <w:rPr>
                <w:rFonts w:ascii="Arial" w:hAnsi="Arial" w:cs="Arial"/>
              </w:rPr>
              <w:t xml:space="preserve">The privacy of the patients and </w:t>
            </w:r>
            <w:r>
              <w:rPr>
                <w:rFonts w:ascii="Arial" w:hAnsi="Arial" w:cs="Arial"/>
              </w:rPr>
              <w:t>healthcare professionals</w:t>
            </w:r>
            <w:r w:rsidRPr="00862C7F">
              <w:rPr>
                <w:rFonts w:ascii="Arial" w:hAnsi="Arial" w:cs="Arial"/>
              </w:rPr>
              <w:t xml:space="preserve"> in the archive is of upmost importance to the research team and you will be asked to keep all viewings of the recordings / transcripts confidential in line with good medical / research practice.</w:t>
            </w:r>
          </w:p>
          <w:p w14:paraId="36E04B05" w14:textId="77777777" w:rsidR="00CA3BAC" w:rsidRDefault="00CA3BAC" w:rsidP="6D57DD56"/>
          <w:p w14:paraId="611D6F67" w14:textId="6FF25817" w:rsidR="0051615E" w:rsidRDefault="0051615E" w:rsidP="6D57DD56"/>
        </w:tc>
      </w:tr>
      <w:tr w:rsidR="00C27882" w14:paraId="76537CAD" w14:textId="77777777" w:rsidTr="6D57DD56">
        <w:tc>
          <w:tcPr>
            <w:tcW w:w="9015" w:type="dxa"/>
          </w:tcPr>
          <w:p w14:paraId="7C6CF088" w14:textId="77777777" w:rsidR="00C27882" w:rsidRDefault="00C27882" w:rsidP="6D57DD56">
            <w:pPr>
              <w:rPr>
                <w:b/>
                <w:bCs/>
              </w:rPr>
            </w:pPr>
            <w:r>
              <w:rPr>
                <w:b/>
                <w:bCs/>
              </w:rPr>
              <w:t>How to apply:</w:t>
            </w:r>
          </w:p>
          <w:p w14:paraId="67139C0F" w14:textId="77777777" w:rsidR="00C27882" w:rsidRDefault="00C27882" w:rsidP="6D57DD56">
            <w:pPr>
              <w:rPr>
                <w:b/>
                <w:bCs/>
              </w:rPr>
            </w:pPr>
          </w:p>
          <w:p w14:paraId="6A0C5631" w14:textId="73A8B94B" w:rsidR="00C27882" w:rsidRPr="00CA3BAC" w:rsidRDefault="00C27882" w:rsidP="00C27882">
            <w:pPr>
              <w:spacing w:line="360" w:lineRule="auto"/>
              <w:rPr>
                <w:b/>
                <w:bCs/>
              </w:rPr>
            </w:pPr>
            <w:r>
              <w:t xml:space="preserve">To apply for </w:t>
            </w:r>
            <w:r w:rsidRPr="00C27882">
              <w:rPr>
                <w:rFonts w:cstheme="minorHAnsi"/>
              </w:rPr>
              <w:t>this internship, please submit the template application form found below to the supervisor</w:t>
            </w:r>
            <w:r w:rsidRPr="00C27882">
              <w:rPr>
                <w:rFonts w:cstheme="minorHAnsi"/>
                <w:b/>
                <w:bCs/>
              </w:rPr>
              <w:t xml:space="preserve"> </w:t>
            </w:r>
            <w:r w:rsidRPr="00C27882">
              <w:rPr>
                <w:rFonts w:cstheme="minorHAnsi"/>
              </w:rPr>
              <w:t>Peter Edwards</w:t>
            </w:r>
            <w:r w:rsidRPr="00C27882">
              <w:rPr>
                <w:rFonts w:cstheme="minorHAnsi"/>
                <w:b/>
                <w:bCs/>
              </w:rPr>
              <w:t xml:space="preserve"> </w:t>
            </w:r>
            <w:r w:rsidRPr="00C27882">
              <w:rPr>
                <w:rFonts w:cstheme="minorHAnsi"/>
              </w:rPr>
              <w:t>(</w:t>
            </w:r>
            <w:hyperlink r:id="rId11" w:history="1">
              <w:r w:rsidRPr="00C27882">
                <w:rPr>
                  <w:rStyle w:val="Hyperlink"/>
                  <w:rFonts w:cstheme="minorHAnsi"/>
                </w:rPr>
                <w:t>peter.edwards@bristol.ac.uk</w:t>
              </w:r>
            </w:hyperlink>
            <w:r w:rsidRPr="00C27882">
              <w:rPr>
                <w:rFonts w:cstheme="minorHAnsi"/>
              </w:rPr>
              <w:t>) by 30</w:t>
            </w:r>
            <w:r w:rsidRPr="00C27882">
              <w:rPr>
                <w:rFonts w:cstheme="minorHAnsi"/>
                <w:vertAlign w:val="superscript"/>
              </w:rPr>
              <w:t>th</w:t>
            </w:r>
            <w:r w:rsidRPr="00C27882">
              <w:rPr>
                <w:rFonts w:cstheme="minorHAnsi"/>
              </w:rPr>
              <w:t xml:space="preserve"> April.</w:t>
            </w:r>
          </w:p>
        </w:tc>
      </w:tr>
    </w:tbl>
    <w:p w14:paraId="2BE9956D" w14:textId="77777777" w:rsidR="00C27882" w:rsidRDefault="00C27882" w:rsidP="00C27882">
      <w:pPr>
        <w:spacing w:after="200" w:line="240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CAPC Summer Internship Research Project </w:t>
      </w:r>
    </w:p>
    <w:p w14:paraId="3B16487F" w14:textId="77777777" w:rsidR="00C27882" w:rsidRDefault="00C27882" w:rsidP="00C27882">
      <w:pPr>
        <w:spacing w:after="200" w:line="240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Undergraduate students</w:t>
      </w:r>
    </w:p>
    <w:p w14:paraId="60E7F811" w14:textId="77777777" w:rsidR="00C27882" w:rsidRDefault="00C27882" w:rsidP="00C27882">
      <w:pPr>
        <w:spacing w:after="200" w:line="27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</w:p>
    <w:tbl>
      <w:tblPr>
        <w:tblW w:w="8923" w:type="dxa"/>
        <w:tblLayout w:type="fixed"/>
        <w:tblLook w:val="04A0" w:firstRow="1" w:lastRow="0" w:firstColumn="1" w:lastColumn="0" w:noHBand="0" w:noVBand="1"/>
      </w:tblPr>
      <w:tblGrid>
        <w:gridCol w:w="1451"/>
        <w:gridCol w:w="7472"/>
      </w:tblGrid>
      <w:tr w:rsidR="00C27882" w14:paraId="5F4FDD05" w14:textId="77777777" w:rsidTr="00A868D0">
        <w:trPr>
          <w:trHeight w:val="510"/>
        </w:trPr>
        <w:tc>
          <w:tcPr>
            <w:tcW w:w="1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248C67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Full name</w:t>
            </w:r>
          </w:p>
        </w:tc>
        <w:tc>
          <w:tcPr>
            <w:tcW w:w="74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2B184C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27882" w14:paraId="2919BCBF" w14:textId="77777777" w:rsidTr="00A868D0">
        <w:tc>
          <w:tcPr>
            <w:tcW w:w="1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5DEF89D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Email address</w:t>
            </w:r>
          </w:p>
        </w:tc>
        <w:tc>
          <w:tcPr>
            <w:tcW w:w="74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F452D0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27882" w14:paraId="66C797E8" w14:textId="77777777" w:rsidTr="00A868D0">
        <w:tc>
          <w:tcPr>
            <w:tcW w:w="1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B6AB44A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Proposed </w:t>
            </w:r>
          </w:p>
          <w:p w14:paraId="279370F9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start date </w:t>
            </w:r>
          </w:p>
        </w:tc>
        <w:tc>
          <w:tcPr>
            <w:tcW w:w="74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61BE1F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27882" w14:paraId="604FC800" w14:textId="77777777" w:rsidTr="00A868D0">
        <w:tc>
          <w:tcPr>
            <w:tcW w:w="1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1B87A9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Project applied for</w:t>
            </w:r>
          </w:p>
        </w:tc>
        <w:tc>
          <w:tcPr>
            <w:tcW w:w="74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3012D8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27882" w14:paraId="3C8A51ED" w14:textId="77777777" w:rsidTr="00A868D0">
        <w:tc>
          <w:tcPr>
            <w:tcW w:w="892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B8988A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How will this project benefit your future career? (100 words)</w:t>
            </w:r>
          </w:p>
          <w:p w14:paraId="17C0DF98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4E8EA0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9C28A1C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3922EC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5FD8DE7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B39AC68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E981BA6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C699189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90113B4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5DBF8D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2175B270" w14:textId="77777777" w:rsidR="00C27882" w:rsidRDefault="00C27882" w:rsidP="00C27882">
      <w:pPr>
        <w:spacing w:after="200" w:line="276" w:lineRule="auto"/>
        <w:rPr>
          <w:rFonts w:ascii="Calibri" w:eastAsia="Calibri" w:hAnsi="Calibri" w:cs="Calibri"/>
          <w:color w:val="000000" w:themeColor="text1"/>
          <w:lang w:val="en-US"/>
        </w:rPr>
      </w:pPr>
      <w:r>
        <w:br w:type="page"/>
      </w:r>
    </w:p>
    <w:p w14:paraId="3B4B3526" w14:textId="77777777" w:rsidR="00C27882" w:rsidRDefault="00C27882" w:rsidP="00C27882">
      <w:pPr>
        <w:spacing w:after="200" w:line="276" w:lineRule="auto"/>
        <w:rPr>
          <w:rFonts w:ascii="Calibri" w:eastAsia="Calibri" w:hAnsi="Calibri" w:cs="Calibri"/>
          <w:color w:val="000000" w:themeColor="text1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C27882" w14:paraId="515B3FFB" w14:textId="77777777" w:rsidTr="00A868D0">
        <w:trPr>
          <w:trHeight w:val="40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F42D110" w14:textId="77777777" w:rsidR="00C27882" w:rsidRDefault="00C27882" w:rsidP="00A868D0">
            <w:pPr>
              <w:spacing w:after="12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Student’s CV</w:t>
            </w:r>
          </w:p>
        </w:tc>
      </w:tr>
      <w:tr w:rsidR="00C27882" w14:paraId="3CF19EC9" w14:textId="77777777" w:rsidTr="00A868D0"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B272FA" w14:textId="77777777" w:rsidR="00C27882" w:rsidRDefault="00C27882" w:rsidP="00A868D0">
            <w:pPr>
              <w:spacing w:after="12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Higher education to date: Please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provide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details of University, degree subject and the year most recently completed and any previous higher education qualifications (University, subject and class)</w:t>
            </w:r>
          </w:p>
        </w:tc>
      </w:tr>
      <w:tr w:rsidR="00C27882" w14:paraId="617EA644" w14:textId="77777777" w:rsidTr="00A868D0"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65672E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934013C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B205D78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3AEBC68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27882" w14:paraId="2B482AE8" w14:textId="77777777" w:rsidTr="00A868D0"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BD594A" w14:textId="77777777" w:rsidR="00C27882" w:rsidRDefault="00C27882" w:rsidP="00A868D0">
            <w:pPr>
              <w:spacing w:after="12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Have you previously done any research or audit projects? (100 words)</w:t>
            </w:r>
          </w:p>
          <w:p w14:paraId="45175CE0" w14:textId="77777777" w:rsidR="00C27882" w:rsidRDefault="00C27882" w:rsidP="00A868D0">
            <w:pPr>
              <w:spacing w:after="12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52D3EB" w14:textId="77777777" w:rsidR="00C27882" w:rsidRDefault="00C27882" w:rsidP="00A868D0">
            <w:pPr>
              <w:spacing w:after="12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098B059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B1EEDD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1259EC1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C27882" w14:paraId="143710EA" w14:textId="77777777" w:rsidTr="00A868D0"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A2C320" w14:textId="77777777" w:rsidR="00C27882" w:rsidRDefault="00C27882" w:rsidP="00A868D0">
            <w:pPr>
              <w:spacing w:after="12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List any outputs from previous research including presentations (oral or poster) at conferences or publications</w:t>
            </w:r>
          </w:p>
          <w:p w14:paraId="212468FC" w14:textId="77777777" w:rsidR="00C27882" w:rsidRDefault="00C27882" w:rsidP="00A868D0">
            <w:pPr>
              <w:spacing w:after="12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DC5488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BA395BB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B42D34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C27882" w14:paraId="3E40E733" w14:textId="77777777" w:rsidTr="00A868D0"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909F80" w14:textId="77777777" w:rsidR="00C27882" w:rsidRDefault="00C27882" w:rsidP="00A868D0">
            <w:pPr>
              <w:spacing w:after="12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Have you been awarded any University / Regional / National prizes?</w:t>
            </w:r>
          </w:p>
          <w:p w14:paraId="0A43B7B6" w14:textId="77777777" w:rsidR="00C27882" w:rsidRDefault="00C27882" w:rsidP="00A868D0">
            <w:pPr>
              <w:spacing w:after="12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2EB7C29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F070FD3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CF7172D" w14:textId="77777777" w:rsidR="00C27882" w:rsidRDefault="00C27882" w:rsidP="00A868D0">
            <w:p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</w:tbl>
    <w:p w14:paraId="5AF25ECD" w14:textId="77777777" w:rsidR="00C27882" w:rsidRDefault="00C27882" w:rsidP="00C27882">
      <w:pPr>
        <w:spacing w:after="200" w:line="276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1F2BBF0F" w14:textId="77777777" w:rsidR="00C27882" w:rsidRDefault="00C27882" w:rsidP="00C27882">
      <w:pPr>
        <w:spacing w:after="200" w:line="276" w:lineRule="auto"/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</w:rPr>
        <w:t xml:space="preserve">Please return this form to </w:t>
      </w:r>
      <w:r>
        <w:rPr>
          <w:rFonts w:ascii="Calibri" w:eastAsia="Calibri" w:hAnsi="Calibri" w:cs="Calibri"/>
          <w:color w:val="000000" w:themeColor="text1"/>
          <w:lang w:val="en-US"/>
        </w:rPr>
        <w:t>the lead supervisor</w:t>
      </w:r>
      <w:r>
        <w:rPr>
          <w:rFonts w:ascii="Calibri" w:eastAsia="Calibri" w:hAnsi="Calibri" w:cs="Calibri"/>
          <w:color w:val="000000" w:themeColor="text1"/>
        </w:rPr>
        <w:t xml:space="preserve"> by </w:t>
      </w:r>
      <w:r>
        <w:rPr>
          <w:rFonts w:ascii="Calibri" w:eastAsia="Calibri" w:hAnsi="Calibri" w:cs="Calibri"/>
          <w:b/>
          <w:bCs/>
          <w:color w:val="000000" w:themeColor="text1"/>
        </w:rPr>
        <w:t>30</w:t>
      </w:r>
      <w:r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April 2022</w:t>
      </w:r>
    </w:p>
    <w:p w14:paraId="6C4D5B18" w14:textId="77777777" w:rsidR="00C27882" w:rsidRDefault="00C27882" w:rsidP="00C27882">
      <w:pPr>
        <w:spacing w:after="200" w:line="276" w:lineRule="auto"/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</w:rPr>
        <w:t>Successful candidates will be notified by 20</w:t>
      </w:r>
      <w:r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May 2022</w:t>
      </w:r>
    </w:p>
    <w:p w14:paraId="6EAC8DD8" w14:textId="77777777" w:rsidR="00C27882" w:rsidRDefault="00C27882" w:rsidP="00C27882">
      <w:pPr>
        <w:spacing w:after="200" w:line="276" w:lineRule="auto"/>
        <w:jc w:val="center"/>
        <w:rPr>
          <w:rFonts w:ascii="Calibri" w:eastAsia="Calibri" w:hAnsi="Calibri" w:cs="Calibri"/>
          <w:color w:val="000000" w:themeColor="text1"/>
          <w:lang w:val="en-US"/>
        </w:rPr>
      </w:pPr>
    </w:p>
    <w:p w14:paraId="6CCA877C" w14:textId="77777777" w:rsidR="00C27882" w:rsidRDefault="00C27882" w:rsidP="00C27882">
      <w:pPr>
        <w:spacing w:after="200" w:line="276" w:lineRule="auto"/>
        <w:rPr>
          <w:rFonts w:ascii="Calibri" w:eastAsia="Calibri" w:hAnsi="Calibri" w:cs="Calibri"/>
          <w:color w:val="000000" w:themeColor="text1"/>
          <w:lang w:val="en-US"/>
        </w:rPr>
      </w:pPr>
      <w:r>
        <w:br w:type="page"/>
      </w:r>
    </w:p>
    <w:p w14:paraId="30BC8F2B" w14:textId="77777777" w:rsidR="00C27882" w:rsidRDefault="00C27882" w:rsidP="00C27882">
      <w:pPr>
        <w:spacing w:after="120" w:line="276" w:lineRule="auto"/>
        <w:jc w:val="center"/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</w:rPr>
        <w:lastRenderedPageBreak/>
        <w:t>Terms and Conditions</w:t>
      </w:r>
    </w:p>
    <w:p w14:paraId="4CCD267C" w14:textId="77777777" w:rsidR="00C27882" w:rsidRDefault="00C27882" w:rsidP="00C27882">
      <w:pPr>
        <w:spacing w:after="120" w:line="276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754A2FEC" w14:textId="77777777" w:rsidR="00C27882" w:rsidRDefault="00C27882" w:rsidP="00C27882">
      <w:pPr>
        <w:pStyle w:val="ListParagraph"/>
        <w:numPr>
          <w:ilvl w:val="0"/>
          <w:numId w:val="6"/>
        </w:numPr>
        <w:spacing w:after="120" w:line="276" w:lineRule="auto"/>
        <w:rPr>
          <w:rFonts w:eastAsiaTheme="minorEastAsia"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</w:rPr>
        <w:t>Applications will be accepted from undergraduate students in the 2</w:t>
      </w:r>
      <w:r>
        <w:rPr>
          <w:rFonts w:ascii="Calibri" w:eastAsia="Calibri" w:hAnsi="Calibri" w:cs="Calibri"/>
          <w:color w:val="000000" w:themeColor="text1"/>
          <w:vertAlign w:val="superscript"/>
        </w:rPr>
        <w:t>nd</w:t>
      </w:r>
      <w:r>
        <w:rPr>
          <w:rFonts w:ascii="Calibri" w:eastAsia="Calibri" w:hAnsi="Calibri" w:cs="Calibri"/>
          <w:color w:val="000000" w:themeColor="text1"/>
        </w:rPr>
        <w:t xml:space="preserve"> year or higher of their course in any science or humanities course (including but not limited to medicine, psychology, sociology, anthropology, social policy, geography, and biology).</w:t>
      </w:r>
    </w:p>
    <w:p w14:paraId="3A1D5883" w14:textId="77777777" w:rsidR="00C27882" w:rsidRDefault="00C27882" w:rsidP="00C27882">
      <w:pPr>
        <w:pStyle w:val="ListParagraph"/>
        <w:numPr>
          <w:ilvl w:val="0"/>
          <w:numId w:val="6"/>
        </w:numPr>
        <w:spacing w:after="120" w:line="276" w:lineRule="auto"/>
        <w:rPr>
          <w:rFonts w:eastAsiaTheme="minorEastAsia"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</w:rPr>
        <w:t xml:space="preserve">This support (£1,000) will be paid as a </w:t>
      </w:r>
      <w:proofErr w:type="gramStart"/>
      <w:r>
        <w:rPr>
          <w:rFonts w:ascii="Calibri" w:eastAsia="Calibri" w:hAnsi="Calibri" w:cs="Calibri"/>
          <w:color w:val="000000" w:themeColor="text1"/>
        </w:rPr>
        <w:t>one off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payment to the student for a period of 15 days research (full or part time options to be agreed with supervisor).</w:t>
      </w:r>
    </w:p>
    <w:p w14:paraId="12D96319" w14:textId="77777777" w:rsidR="00C27882" w:rsidRDefault="00C27882" w:rsidP="00C27882">
      <w:pPr>
        <w:pStyle w:val="ListParagraph"/>
        <w:numPr>
          <w:ilvl w:val="0"/>
          <w:numId w:val="6"/>
        </w:numPr>
        <w:spacing w:after="120" w:line="276" w:lineRule="auto"/>
        <w:rPr>
          <w:rFonts w:eastAsiaTheme="minorEastAsia"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</w:rPr>
        <w:t>No funding is available to cover the costs of the research project which must be covered by the supervisor/team.</w:t>
      </w:r>
    </w:p>
    <w:p w14:paraId="38BB70D4" w14:textId="77777777" w:rsidR="00C27882" w:rsidRDefault="00C27882" w:rsidP="00C27882">
      <w:pPr>
        <w:pStyle w:val="ListParagraph"/>
        <w:numPr>
          <w:ilvl w:val="0"/>
          <w:numId w:val="6"/>
        </w:numPr>
        <w:spacing w:after="120" w:line="276" w:lineRule="auto"/>
        <w:rPr>
          <w:rFonts w:eastAsiaTheme="minorEastAsia"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</w:rPr>
        <w:t xml:space="preserve">In accepting this </w:t>
      </w:r>
      <w:proofErr w:type="gramStart"/>
      <w:r>
        <w:rPr>
          <w:rFonts w:ascii="Calibri" w:eastAsia="Calibri" w:hAnsi="Calibri" w:cs="Calibri"/>
          <w:color w:val="000000" w:themeColor="text1"/>
        </w:rPr>
        <w:t>award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the student accepts responsibility for delivery of the project and providing a written report of its outcome within 4 weeks of completion of the work.</w:t>
      </w:r>
    </w:p>
    <w:p w14:paraId="09E43814" w14:textId="77777777" w:rsidR="00C27882" w:rsidRDefault="00C27882" w:rsidP="00C27882">
      <w:pPr>
        <w:pStyle w:val="ListParagraph"/>
        <w:numPr>
          <w:ilvl w:val="0"/>
          <w:numId w:val="6"/>
        </w:numPr>
        <w:spacing w:after="120" w:line="276" w:lineRule="auto"/>
        <w:rPr>
          <w:rFonts w:eastAsiaTheme="minorEastAsia"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</w:rPr>
        <w:t>The report should be 500 words maximum (not including references or figures).</w:t>
      </w:r>
    </w:p>
    <w:p w14:paraId="1348208C" w14:textId="77777777" w:rsidR="00C27882" w:rsidRDefault="00C27882" w:rsidP="00C27882">
      <w:pPr>
        <w:pStyle w:val="ListParagraph"/>
        <w:numPr>
          <w:ilvl w:val="0"/>
          <w:numId w:val="6"/>
        </w:numPr>
        <w:spacing w:after="120" w:line="276" w:lineRule="auto"/>
        <w:rPr>
          <w:rFonts w:eastAsiaTheme="minorEastAsia"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</w:rPr>
        <w:t>The student may be invited to present their work to a student research showcase.</w:t>
      </w:r>
    </w:p>
    <w:p w14:paraId="51156710" w14:textId="77777777" w:rsidR="00C27882" w:rsidRDefault="00C27882" w:rsidP="00C27882">
      <w:pPr>
        <w:pStyle w:val="ListParagraph"/>
        <w:numPr>
          <w:ilvl w:val="0"/>
          <w:numId w:val="6"/>
        </w:numPr>
        <w:spacing w:after="120" w:line="276" w:lineRule="auto"/>
        <w:rPr>
          <w:rFonts w:eastAsiaTheme="minorEastAsia"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</w:rPr>
        <w:t>It is the supervisor’s responsibility to ensure that any necessary ethical approvals are in place for the study.</w:t>
      </w:r>
    </w:p>
    <w:p w14:paraId="3D1FA03D" w14:textId="77777777" w:rsidR="00C27882" w:rsidRDefault="00C27882" w:rsidP="00C27882">
      <w:pPr>
        <w:pStyle w:val="ListParagraph"/>
        <w:numPr>
          <w:ilvl w:val="0"/>
          <w:numId w:val="6"/>
        </w:numPr>
        <w:spacing w:after="120" w:line="276" w:lineRule="auto"/>
        <w:rPr>
          <w:rFonts w:eastAsiaTheme="minorEastAsia"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</w:rPr>
        <w:t>The student may be able to apply for funding to present the findings at a scientific meeting.</w:t>
      </w:r>
    </w:p>
    <w:p w14:paraId="7859E66B" w14:textId="77777777" w:rsidR="6D57DD56" w:rsidRDefault="6D57DD56" w:rsidP="6D57DD56"/>
    <w:sectPr w:rsidR="6D57DD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2CCD"/>
    <w:multiLevelType w:val="hybridMultilevel"/>
    <w:tmpl w:val="C472B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21ACD"/>
    <w:multiLevelType w:val="hybridMultilevel"/>
    <w:tmpl w:val="BD02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43AA2"/>
    <w:multiLevelType w:val="hybridMultilevel"/>
    <w:tmpl w:val="102A8C1A"/>
    <w:lvl w:ilvl="0" w:tplc="64D4A702">
      <w:start w:val="1"/>
      <w:numFmt w:val="decimal"/>
      <w:lvlText w:val="%1."/>
      <w:lvlJc w:val="left"/>
      <w:pPr>
        <w:ind w:left="720" w:hanging="360"/>
      </w:pPr>
    </w:lvl>
    <w:lvl w:ilvl="1" w:tplc="6A4A3320">
      <w:start w:val="1"/>
      <w:numFmt w:val="lowerLetter"/>
      <w:lvlText w:val="%2."/>
      <w:lvlJc w:val="left"/>
      <w:pPr>
        <w:ind w:left="1440" w:hanging="360"/>
      </w:pPr>
    </w:lvl>
    <w:lvl w:ilvl="2" w:tplc="D600591A">
      <w:start w:val="1"/>
      <w:numFmt w:val="lowerRoman"/>
      <w:lvlText w:val="%3."/>
      <w:lvlJc w:val="right"/>
      <w:pPr>
        <w:ind w:left="2160" w:hanging="180"/>
      </w:pPr>
    </w:lvl>
    <w:lvl w:ilvl="3" w:tplc="8EEED762">
      <w:start w:val="1"/>
      <w:numFmt w:val="decimal"/>
      <w:lvlText w:val="%4."/>
      <w:lvlJc w:val="left"/>
      <w:pPr>
        <w:ind w:left="2880" w:hanging="360"/>
      </w:pPr>
    </w:lvl>
    <w:lvl w:ilvl="4" w:tplc="76C4B25C">
      <w:start w:val="1"/>
      <w:numFmt w:val="lowerLetter"/>
      <w:lvlText w:val="%5."/>
      <w:lvlJc w:val="left"/>
      <w:pPr>
        <w:ind w:left="3600" w:hanging="360"/>
      </w:pPr>
    </w:lvl>
    <w:lvl w:ilvl="5" w:tplc="05D8A13C">
      <w:start w:val="1"/>
      <w:numFmt w:val="lowerRoman"/>
      <w:lvlText w:val="%6."/>
      <w:lvlJc w:val="right"/>
      <w:pPr>
        <w:ind w:left="4320" w:hanging="180"/>
      </w:pPr>
    </w:lvl>
    <w:lvl w:ilvl="6" w:tplc="287EEC4C">
      <w:start w:val="1"/>
      <w:numFmt w:val="decimal"/>
      <w:lvlText w:val="%7."/>
      <w:lvlJc w:val="left"/>
      <w:pPr>
        <w:ind w:left="5040" w:hanging="360"/>
      </w:pPr>
    </w:lvl>
    <w:lvl w:ilvl="7" w:tplc="CE52A964">
      <w:start w:val="1"/>
      <w:numFmt w:val="lowerLetter"/>
      <w:lvlText w:val="%8."/>
      <w:lvlJc w:val="left"/>
      <w:pPr>
        <w:ind w:left="5760" w:hanging="360"/>
      </w:pPr>
    </w:lvl>
    <w:lvl w:ilvl="8" w:tplc="D64238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A73F3"/>
    <w:rsid w:val="000378D0"/>
    <w:rsid w:val="0005107F"/>
    <w:rsid w:val="00064BA7"/>
    <w:rsid w:val="0008262C"/>
    <w:rsid w:val="00095CED"/>
    <w:rsid w:val="000A34B5"/>
    <w:rsid w:val="000A3B03"/>
    <w:rsid w:val="000D39E4"/>
    <w:rsid w:val="0012063D"/>
    <w:rsid w:val="001577F0"/>
    <w:rsid w:val="001B2ACA"/>
    <w:rsid w:val="001C5987"/>
    <w:rsid w:val="001F46B3"/>
    <w:rsid w:val="002232B7"/>
    <w:rsid w:val="00232AEF"/>
    <w:rsid w:val="002564C1"/>
    <w:rsid w:val="00275731"/>
    <w:rsid w:val="00280776"/>
    <w:rsid w:val="0028580D"/>
    <w:rsid w:val="0031012F"/>
    <w:rsid w:val="003A59D5"/>
    <w:rsid w:val="003C1995"/>
    <w:rsid w:val="003D2DC5"/>
    <w:rsid w:val="003D7B4A"/>
    <w:rsid w:val="003F2CB5"/>
    <w:rsid w:val="004132FB"/>
    <w:rsid w:val="00452EC0"/>
    <w:rsid w:val="00454B63"/>
    <w:rsid w:val="0046797F"/>
    <w:rsid w:val="004B185E"/>
    <w:rsid w:val="00502532"/>
    <w:rsid w:val="0051615E"/>
    <w:rsid w:val="00562C5E"/>
    <w:rsid w:val="00584215"/>
    <w:rsid w:val="00604E3A"/>
    <w:rsid w:val="00614927"/>
    <w:rsid w:val="006550F5"/>
    <w:rsid w:val="00667A6F"/>
    <w:rsid w:val="00687043"/>
    <w:rsid w:val="006B5E4E"/>
    <w:rsid w:val="006F577C"/>
    <w:rsid w:val="007174B4"/>
    <w:rsid w:val="00733895"/>
    <w:rsid w:val="00741D0B"/>
    <w:rsid w:val="007D044D"/>
    <w:rsid w:val="007E025F"/>
    <w:rsid w:val="007F4F38"/>
    <w:rsid w:val="0080601E"/>
    <w:rsid w:val="00833AC0"/>
    <w:rsid w:val="00856350"/>
    <w:rsid w:val="008C5575"/>
    <w:rsid w:val="00900F92"/>
    <w:rsid w:val="009A44DC"/>
    <w:rsid w:val="009D7B84"/>
    <w:rsid w:val="009F72A2"/>
    <w:rsid w:val="00A07CB9"/>
    <w:rsid w:val="00A24346"/>
    <w:rsid w:val="00A30BEA"/>
    <w:rsid w:val="00A3381D"/>
    <w:rsid w:val="00A45AAF"/>
    <w:rsid w:val="00A73E2B"/>
    <w:rsid w:val="00AC53DC"/>
    <w:rsid w:val="00AF0A2F"/>
    <w:rsid w:val="00B000F9"/>
    <w:rsid w:val="00B1445B"/>
    <w:rsid w:val="00B27399"/>
    <w:rsid w:val="00B3259E"/>
    <w:rsid w:val="00BA06CF"/>
    <w:rsid w:val="00C27882"/>
    <w:rsid w:val="00C31920"/>
    <w:rsid w:val="00CA3BAC"/>
    <w:rsid w:val="00CD38BA"/>
    <w:rsid w:val="00D063B2"/>
    <w:rsid w:val="00D57DC4"/>
    <w:rsid w:val="00DA67B6"/>
    <w:rsid w:val="00E051AF"/>
    <w:rsid w:val="00EB467B"/>
    <w:rsid w:val="00EC6DA3"/>
    <w:rsid w:val="00EE5FC3"/>
    <w:rsid w:val="00F02D47"/>
    <w:rsid w:val="00F409B8"/>
    <w:rsid w:val="00F70E1D"/>
    <w:rsid w:val="00F942C1"/>
    <w:rsid w:val="07A8DF5E"/>
    <w:rsid w:val="07B563C1"/>
    <w:rsid w:val="0E1BFA25"/>
    <w:rsid w:val="191DAB68"/>
    <w:rsid w:val="19A6AEC0"/>
    <w:rsid w:val="1C554C2A"/>
    <w:rsid w:val="1CACBDB8"/>
    <w:rsid w:val="20B87242"/>
    <w:rsid w:val="225442A3"/>
    <w:rsid w:val="258BE365"/>
    <w:rsid w:val="28C98CB3"/>
    <w:rsid w:val="2914C51C"/>
    <w:rsid w:val="32A012F2"/>
    <w:rsid w:val="341A73F3"/>
    <w:rsid w:val="34A5E036"/>
    <w:rsid w:val="3CEBE349"/>
    <w:rsid w:val="3EEB7AE1"/>
    <w:rsid w:val="41879209"/>
    <w:rsid w:val="47F6D38D"/>
    <w:rsid w:val="4B83AA20"/>
    <w:rsid w:val="4FE8BD15"/>
    <w:rsid w:val="5DF94372"/>
    <w:rsid w:val="6D57DD56"/>
    <w:rsid w:val="757AA75B"/>
    <w:rsid w:val="7CC342C4"/>
    <w:rsid w:val="7F71E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80601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0601E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edwards@bristol.ac.uk" TargetMode="Externa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er.edwards@bristol.ac.uk" TargetMode="External"/><Relationship Id="R3fd53b1f84c44689" Type="http://schemas.microsoft.com/office/2019/09/relationships/intelligence" Target="intelligence.xml"/><Relationship Id="rId5" Type="http://schemas.openxmlformats.org/officeDocument/2006/relationships/styles" Target="styles.xml"/><Relationship Id="rId10" Type="http://schemas.openxmlformats.org/officeDocument/2006/relationships/hyperlink" Target="https://doi.org/10.1186/1471-2296-15-10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3399/bjgp17X69052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886A07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AF"/>
    <w:rsid w:val="005E4FDA"/>
    <w:rsid w:val="0060039E"/>
    <w:rsid w:val="007D3D6E"/>
    <w:rsid w:val="00886A07"/>
    <w:rsid w:val="00A4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AF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4" ma:contentTypeDescription="Create a new document." ma:contentTypeScope="" ma:versionID="6413dec16d419eb30359b9961b62294a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f697fae03a39ce134eb48075b76f3b6d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Esther Van Vliet</DisplayName>
        <AccountId>11</AccountId>
        <AccountType/>
      </UserInfo>
    </SharedWithUsers>
    <Notes xmlns="cd9570d7-6d3c-408b-a3fc-485599f6110e" xsi:nil="true"/>
  </documentManagement>
</p:properties>
</file>

<file path=customXml/itemProps1.xml><?xml version="1.0" encoding="utf-8"?>
<ds:datastoreItem xmlns:ds="http://schemas.openxmlformats.org/officeDocument/2006/customXml" ds:itemID="{810CD2DE-E7C0-4C55-B250-9F6E73385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Vliet</dc:creator>
  <cp:keywords/>
  <dc:description/>
  <cp:lastModifiedBy>Esther Van Vliet</cp:lastModifiedBy>
  <cp:revision>5</cp:revision>
  <dcterms:created xsi:type="dcterms:W3CDTF">2022-03-01T11:45:00Z</dcterms:created>
  <dcterms:modified xsi:type="dcterms:W3CDTF">2022-03-16T12:55:00Z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